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40" w:lineRule="exact"/>
        <w:jc w:val="center"/>
        <w:textAlignment w:val="baseline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u w:val="none" w:color="000000"/>
        </w:rPr>
      </w:pPr>
      <w:r>
        <w:rPr>
          <w:rFonts w:hint="eastAsia" w:ascii="方正小标宋简体" w:hAnsi="Times New Roman" w:eastAsia="方正小标宋简体" w:cs="Times New Roman"/>
          <w:color w:val="000000"/>
          <w:sz w:val="36"/>
          <w:szCs w:val="32"/>
          <w:u w:val="none" w:color="000000"/>
        </w:rPr>
        <w:t xml:space="preserve"> 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u w:val="none" w:color="000000"/>
        </w:rPr>
        <w:t>202</w:t>
      </w:r>
      <w:r>
        <w:rPr>
          <w:rFonts w:hint="eastAsia" w:ascii="方正小标宋简体" w:eastAsia="方正小标宋简体" w:cs="Times New Roman"/>
          <w:color w:val="000000"/>
          <w:sz w:val="44"/>
          <w:szCs w:val="44"/>
          <w:u w:val="none" w:color="000000"/>
          <w:lang w:val="en-US" w:eastAsia="zh-CN"/>
        </w:rPr>
        <w:t>4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u w:val="none" w:color="000000"/>
        </w:rPr>
        <w:t>年</w:t>
      </w: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u w:val="none" w:color="000000"/>
        </w:rPr>
        <w:t>度</w:t>
      </w:r>
      <w:r>
        <w:rPr>
          <w:rFonts w:hint="eastAsia" w:ascii="方正小标宋简体" w:eastAsia="方正小标宋简体" w:cs="Times New Roman"/>
          <w:color w:val="000000"/>
          <w:sz w:val="44"/>
          <w:szCs w:val="44"/>
          <w:u w:val="single" w:color="auto"/>
          <w:lang w:val="en-US" w:eastAsia="zh-CN"/>
        </w:rPr>
        <w:t>青田县人民政府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u w:val="none" w:color="000000"/>
        </w:rPr>
        <w:t>重大行政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40" w:lineRule="exact"/>
        <w:jc w:val="center"/>
        <w:textAlignment w:val="baseline"/>
        <w:rPr>
          <w:rFonts w:hint="eastAsia" w:ascii="方正小标宋简体" w:hAnsi="Times New Roman" w:eastAsia="方正小标宋简体" w:cs="Times New Roman"/>
          <w:color w:val="000000"/>
          <w:sz w:val="36"/>
          <w:szCs w:val="32"/>
          <w:u w:val="none" w:color="000000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u w:val="none" w:color="000000"/>
        </w:rPr>
        <w:t>决策事项目录清单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80" w:lineRule="exact"/>
        <w:jc w:val="both"/>
        <w:textAlignment w:val="baseline"/>
        <w:rPr>
          <w:rFonts w:hint="eastAsia" w:ascii="方正小标宋简体" w:hAnsi="Times New Roman" w:eastAsia="方正小标宋简体" w:cs="Times New Roman"/>
          <w:color w:val="000000"/>
          <w:sz w:val="36"/>
          <w:szCs w:val="32"/>
          <w:u w:val="none" w:color="000000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346"/>
        <w:gridCol w:w="1772"/>
        <w:gridCol w:w="1559"/>
        <w:gridCol w:w="1898"/>
        <w:gridCol w:w="2638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hint="eastAsia" w:ascii="黑体" w:hAnsi="黑体" w:eastAsia="黑体" w:cs="宋体"/>
                <w:color w:val="000000"/>
                <w:sz w:val="28"/>
                <w:szCs w:val="28"/>
                <w:u w:val="none" w:color="000000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  <w:u w:val="none" w:color="000000"/>
              </w:rPr>
              <w:t>序号</w:t>
            </w:r>
          </w:p>
        </w:tc>
        <w:tc>
          <w:tcPr>
            <w:tcW w:w="13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ascii="黑体" w:hAnsi="黑体" w:eastAsia="黑体" w:cs="宋体"/>
                <w:color w:val="000000"/>
                <w:sz w:val="28"/>
                <w:szCs w:val="28"/>
                <w:u w:val="single" w:color="000000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  <w:u w:val="none" w:color="000000"/>
              </w:rPr>
              <w:t>项目名称</w:t>
            </w:r>
          </w:p>
        </w:tc>
        <w:tc>
          <w:tcPr>
            <w:tcW w:w="17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ascii="黑体" w:hAnsi="黑体" w:eastAsia="黑体" w:cs="宋体"/>
                <w:color w:val="000000"/>
                <w:sz w:val="28"/>
                <w:szCs w:val="28"/>
                <w:u w:val="single" w:color="000000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  <w:u w:val="none" w:color="000000"/>
              </w:rPr>
              <w:t>承办单位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ascii="黑体" w:hAnsi="黑体" w:eastAsia="黑体" w:cs="宋体"/>
                <w:color w:val="000000"/>
                <w:sz w:val="28"/>
                <w:szCs w:val="28"/>
                <w:u w:val="single" w:color="000000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  <w:u w:val="none" w:color="000000"/>
              </w:rPr>
              <w:t>会同单位</w:t>
            </w:r>
          </w:p>
        </w:tc>
        <w:tc>
          <w:tcPr>
            <w:tcW w:w="18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ascii="黑体" w:hAnsi="黑体" w:eastAsia="黑体" w:cs="宋体"/>
                <w:color w:val="000000"/>
                <w:sz w:val="28"/>
                <w:szCs w:val="28"/>
                <w:u w:val="single" w:color="000000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  <w:u w:val="none" w:color="000000"/>
              </w:rPr>
              <w:t>决策依据</w:t>
            </w:r>
          </w:p>
        </w:tc>
        <w:tc>
          <w:tcPr>
            <w:tcW w:w="51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ascii="黑体" w:hAnsi="黑体" w:eastAsia="黑体" w:cs="宋体"/>
                <w:color w:val="000000"/>
                <w:sz w:val="28"/>
                <w:szCs w:val="28"/>
                <w:u w:val="none" w:color="000000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  <w:u w:val="none" w:color="000000"/>
              </w:rPr>
              <w:t>计划完成时间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ascii="黑体" w:hAnsi="黑体" w:eastAsia="黑体" w:cs="宋体"/>
                <w:color w:val="000000"/>
                <w:sz w:val="28"/>
                <w:szCs w:val="28"/>
                <w:u w:val="none" w:color="000000"/>
              </w:rPr>
            </w:pPr>
          </w:p>
        </w:tc>
        <w:tc>
          <w:tcPr>
            <w:tcW w:w="13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ascii="黑体" w:hAnsi="黑体" w:eastAsia="黑体" w:cs="宋体"/>
                <w:color w:val="000000"/>
                <w:sz w:val="28"/>
                <w:szCs w:val="28"/>
                <w:u w:val="none" w:color="000000"/>
              </w:rPr>
            </w:pPr>
          </w:p>
        </w:tc>
        <w:tc>
          <w:tcPr>
            <w:tcW w:w="17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ascii="黑体" w:hAnsi="黑体" w:eastAsia="黑体" w:cs="宋体"/>
                <w:color w:val="000000"/>
                <w:sz w:val="28"/>
                <w:szCs w:val="28"/>
                <w:u w:val="none" w:color="000000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ascii="黑体" w:hAnsi="黑体" w:eastAsia="黑体" w:cs="宋体"/>
                <w:color w:val="000000"/>
                <w:sz w:val="28"/>
                <w:szCs w:val="28"/>
                <w:u w:val="none" w:color="000000"/>
              </w:rPr>
            </w:pPr>
          </w:p>
        </w:tc>
        <w:tc>
          <w:tcPr>
            <w:tcW w:w="18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ascii="黑体" w:hAnsi="黑体" w:eastAsia="黑体" w:cs="宋体"/>
                <w:color w:val="000000"/>
                <w:sz w:val="28"/>
                <w:szCs w:val="28"/>
                <w:u w:val="none" w:color="000000"/>
              </w:rPr>
            </w:pPr>
          </w:p>
        </w:tc>
        <w:tc>
          <w:tcPr>
            <w:tcW w:w="2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ascii="黑体" w:hAnsi="黑体" w:eastAsia="黑体" w:cs="宋体"/>
                <w:color w:val="000000"/>
                <w:sz w:val="28"/>
                <w:szCs w:val="28"/>
                <w:u w:val="none" w:color="000000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  <w:u w:val="none" w:color="000000"/>
              </w:rPr>
              <w:t>决策程序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ascii="黑体" w:hAnsi="黑体" w:eastAsia="黑体" w:cs="宋体"/>
                <w:color w:val="000000"/>
                <w:sz w:val="28"/>
                <w:szCs w:val="28"/>
                <w:u w:val="none" w:color="000000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  <w:u w:val="none" w:color="000000"/>
              </w:rPr>
              <w:t>时间节点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 w:color="000000"/>
              </w:rPr>
              <w:t>1</w:t>
            </w:r>
          </w:p>
        </w:tc>
        <w:tc>
          <w:tcPr>
            <w:tcW w:w="13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青田县“三线一单”生态环境分区管控动态更新方案</w:t>
            </w:r>
          </w:p>
        </w:tc>
        <w:tc>
          <w:tcPr>
            <w:tcW w:w="17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丽水市生态</w:t>
            </w: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环境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局青田分局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 w:color="000000"/>
                <w:lang w:val="en-US" w:eastAsia="zh-CN"/>
              </w:rPr>
              <w:t>无</w:t>
            </w:r>
          </w:p>
        </w:tc>
        <w:tc>
          <w:tcPr>
            <w:tcW w:w="18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《关于加强生态保护红线管理的通知（实行）》（自然资源发〔2022〕14号）、生态环境部《生态保护红线生态环境监督办法（试行）》（国环规生态〔2022〕2号）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 w:color="000000"/>
              </w:rPr>
              <w:t>公众参与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shd w:val="clear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2024年3月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 w:color="000000"/>
              </w:rPr>
            </w:pPr>
          </w:p>
        </w:tc>
        <w:tc>
          <w:tcPr>
            <w:tcW w:w="13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 w:color="000000"/>
              </w:rPr>
            </w:pPr>
          </w:p>
        </w:tc>
        <w:tc>
          <w:tcPr>
            <w:tcW w:w="17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 w:color="000000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 w:color="000000"/>
              </w:rPr>
            </w:pPr>
          </w:p>
        </w:tc>
        <w:tc>
          <w:tcPr>
            <w:tcW w:w="18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 w:color="000000"/>
              </w:rPr>
            </w:pPr>
          </w:p>
        </w:tc>
        <w:tc>
          <w:tcPr>
            <w:tcW w:w="2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 w:color="000000"/>
              </w:rPr>
              <w:t>专家论证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shd w:val="clear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2024年3月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 w:color="000000"/>
              </w:rPr>
            </w:pPr>
          </w:p>
        </w:tc>
        <w:tc>
          <w:tcPr>
            <w:tcW w:w="13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 w:color="000000"/>
              </w:rPr>
            </w:pPr>
          </w:p>
        </w:tc>
        <w:tc>
          <w:tcPr>
            <w:tcW w:w="17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 w:color="000000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 w:color="000000"/>
              </w:rPr>
            </w:pPr>
          </w:p>
        </w:tc>
        <w:tc>
          <w:tcPr>
            <w:tcW w:w="18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 w:color="000000"/>
              </w:rPr>
            </w:pPr>
          </w:p>
        </w:tc>
        <w:tc>
          <w:tcPr>
            <w:tcW w:w="2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 w:color="000000"/>
                <w:lang w:eastAsia="zh-CN"/>
              </w:rPr>
              <w:t>公平竞争审查和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 w:color="000000"/>
              </w:rPr>
              <w:t>合法性审查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shd w:val="clear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2024年4月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 w:color="000000"/>
              </w:rPr>
            </w:pPr>
          </w:p>
        </w:tc>
        <w:tc>
          <w:tcPr>
            <w:tcW w:w="13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 w:color="000000"/>
              </w:rPr>
            </w:pPr>
          </w:p>
        </w:tc>
        <w:tc>
          <w:tcPr>
            <w:tcW w:w="17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 w:color="000000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 w:color="000000"/>
              </w:rPr>
            </w:pPr>
          </w:p>
        </w:tc>
        <w:tc>
          <w:tcPr>
            <w:tcW w:w="18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 w:color="000000"/>
              </w:rPr>
            </w:pPr>
          </w:p>
        </w:tc>
        <w:tc>
          <w:tcPr>
            <w:tcW w:w="2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 w:color="000000"/>
              </w:rPr>
              <w:t>集体讨论决定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shd w:val="clear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2024年5月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sz w:val="28"/>
          <w:szCs w:val="18"/>
        </w:rPr>
      </w:pPr>
      <w:r>
        <w:rPr>
          <w:rFonts w:hint="eastAsia" w:ascii="仿宋_GB2312" w:hAnsi="宋体" w:eastAsia="仿宋_GB2312" w:cs="宋体"/>
          <w:color w:val="000000"/>
          <w:sz w:val="24"/>
          <w:szCs w:val="24"/>
          <w:u w:val="none" w:color="000000"/>
        </w:rPr>
        <w:t>注：1.公众参与方式还包括座谈会、听证会、实地走访、书面征求意见、向社会公开征求意见、问卷调查、民意调查等；</w:t>
      </w:r>
      <w:r>
        <w:rPr>
          <w:rFonts w:hint="eastAsia" w:ascii="仿宋_GB2312" w:hAnsi="宋体" w:cs="宋体"/>
          <w:color w:val="000000"/>
          <w:sz w:val="24"/>
          <w:szCs w:val="24"/>
          <w:u w:val="none" w:color="000000"/>
          <w:lang w:eastAsia="zh-CN"/>
        </w:rPr>
        <w:t>向社会公开征求意见的，</w:t>
      </w:r>
      <w:r>
        <w:rPr>
          <w:rFonts w:hint="eastAsia" w:ascii="仿宋_GB2312" w:hAnsi="宋体" w:eastAsia="仿宋_GB2312" w:cs="宋体"/>
          <w:color w:val="000000"/>
          <w:sz w:val="24"/>
          <w:szCs w:val="24"/>
          <w:u w:val="none" w:color="000000"/>
        </w:rPr>
        <w:t>公开征求意见的期限一般不少于30日。2.专家论证、</w:t>
      </w:r>
      <w:r>
        <w:rPr>
          <w:rFonts w:hint="eastAsia" w:ascii="仿宋_GB2312" w:hAnsi="宋体" w:cs="宋体"/>
          <w:color w:val="000000"/>
          <w:sz w:val="24"/>
          <w:szCs w:val="24"/>
          <w:u w:val="none" w:color="000000"/>
          <w:lang w:eastAsia="zh-CN"/>
        </w:rPr>
        <w:t>风险评估</w:t>
      </w:r>
      <w:r>
        <w:rPr>
          <w:rFonts w:hint="eastAsia" w:ascii="仿宋_GB2312" w:hAnsi="宋体" w:eastAsia="仿宋_GB2312" w:cs="宋体"/>
          <w:color w:val="000000"/>
          <w:sz w:val="24"/>
          <w:szCs w:val="24"/>
          <w:u w:val="none" w:color="000000"/>
        </w:rPr>
        <w:t>程序根据决策事项需要履行，非必经程序。</w:t>
      </w:r>
    </w:p>
    <w:sectPr>
      <w:footerReference r:id="rId5" w:type="default"/>
      <w:pgSz w:w="16838" w:h="11906" w:orient="landscape"/>
      <w:pgMar w:top="1588" w:right="2098" w:bottom="1474" w:left="1871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Times New Roman" w:hAnsi="Times New Roman" w:eastAsia="仿宋_GB2312" w:cs="Times New Roman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Times New Roman" w:hAnsi="Times New Roman" w:cs="Times New Roman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Times New Roman" w:hAnsi="Times New Roman" w:cs="Times New Roman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Times New Roman" w:hAnsi="Times New Roman" w:eastAsia="仿宋_GB2312" w:cs="Times New Roman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Times New Roman" w:hAnsi="Times New Roman" w:cs="Times New Roman"/>
                        <w:lang w:eastAsia="zh-CN"/>
                      </w:rPr>
                      <w:t>1</w:t>
                    </w:r>
                    <w:r>
                      <w:rPr>
                        <w:rFonts w:hint="eastAsia" w:ascii="Times New Roman" w:hAnsi="Times New Roman" w:cs="Times New Roman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3MzdkMzY4ZWVmYWU4YzgxNTI2NDc5ODgxYzE3MjMifQ=="/>
  </w:docVars>
  <w:rsids>
    <w:rsidRoot w:val="1ECD52A2"/>
    <w:rsid w:val="12122FFF"/>
    <w:rsid w:val="129568D5"/>
    <w:rsid w:val="1ECD52A2"/>
    <w:rsid w:val="2D9C8635"/>
    <w:rsid w:val="336F263C"/>
    <w:rsid w:val="350277AD"/>
    <w:rsid w:val="5A2F0753"/>
    <w:rsid w:val="5DEF80F1"/>
    <w:rsid w:val="5EFE6105"/>
    <w:rsid w:val="67AE1466"/>
    <w:rsid w:val="77FF9AB4"/>
    <w:rsid w:val="7845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hAnsi="Times New Roman" w:eastAsia="仿宋_GB2312" w:cs="Times New Roman"/>
      <w:spacing w:val="-6"/>
      <w:kern w:val="2"/>
      <w:sz w:val="20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2021-03-18T07:22:00Z</dcterms:created>
  <dc:creator>市司法局文书</dc:creator>
  <cp:lastModifiedBy>青田县府办文书2</cp:lastModifiedBy>
  <dcterms:modified xsi:type="dcterms:W3CDTF">2024-03-18T08:55:39Z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4567E240EC3E41DF92B45F33B5C287AB_12</vt:lpwstr>
  </property>
</Properties>
</file>