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cs="Times New Roman"/>
          <w:b w:val="0"/>
          <w:bCs w:val="0"/>
          <w:sz w:val="30"/>
          <w:szCs w:val="30"/>
        </w:rPr>
      </w:pPr>
      <w:bookmarkStart w:id="0" w:name="_Toc24724721"/>
      <w:r>
        <w:rPr>
          <w:rFonts w:hint="eastAsia" w:ascii="方正小标宋_GBK" w:hAnsi="方正小标宋_GBK" w:eastAsia="方正小标宋_GBK" w:cs="方正小标宋_GBK"/>
          <w:b w:val="0"/>
          <w:bCs w:val="0"/>
          <w:sz w:val="30"/>
          <w:szCs w:val="30"/>
        </w:rPr>
        <w:t>（十六）农村危房改造领域基层政务公开标准目录</w:t>
      </w:r>
    </w:p>
    <w:tbl>
      <w:tblPr>
        <w:tblStyle w:val="3"/>
        <w:tblW w:w="154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s="Times New Roman"/>
                <w:color w:val="000000"/>
                <w:kern w:val="0"/>
                <w:sz w:val="22"/>
                <w:szCs w:val="22"/>
              </w:rPr>
            </w:pPr>
            <w:r>
              <w:rPr>
                <w:rFonts w:hint="eastAsia" w:ascii="Times New Roman" w:hAnsi="宋体" w:cs="宋体"/>
                <w:color w:val="000000"/>
                <w:kern w:val="0"/>
                <w:sz w:val="22"/>
                <w:szCs w:val="22"/>
              </w:rPr>
              <w:t>序号</w:t>
            </w:r>
          </w:p>
        </w:tc>
        <w:tc>
          <w:tcPr>
            <w:tcW w:w="2160" w:type="dxa"/>
            <w:gridSpan w:val="2"/>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公开事项</w:t>
            </w:r>
          </w:p>
        </w:tc>
        <w:tc>
          <w:tcPr>
            <w:tcW w:w="1980" w:type="dxa"/>
            <w:vMerge w:val="restart"/>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公开内容（要素）</w:t>
            </w:r>
          </w:p>
        </w:tc>
        <w:tc>
          <w:tcPr>
            <w:tcW w:w="1800" w:type="dxa"/>
            <w:vMerge w:val="restart"/>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公开依据</w:t>
            </w:r>
          </w:p>
        </w:tc>
        <w:tc>
          <w:tcPr>
            <w:tcW w:w="1402" w:type="dxa"/>
            <w:vMerge w:val="restart"/>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公开时限</w:t>
            </w:r>
          </w:p>
        </w:tc>
        <w:tc>
          <w:tcPr>
            <w:tcW w:w="1440" w:type="dxa"/>
            <w:vMerge w:val="restart"/>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公开主体</w:t>
            </w:r>
          </w:p>
        </w:tc>
        <w:tc>
          <w:tcPr>
            <w:tcW w:w="2018" w:type="dxa"/>
            <w:vMerge w:val="restart"/>
            <w:vAlign w:val="center"/>
          </w:tcPr>
          <w:p>
            <w:pPr>
              <w:widowControl/>
              <w:jc w:val="center"/>
              <w:rPr>
                <w:rFonts w:ascii="黑体" w:hAnsi="宋体" w:eastAsia="黑体" w:cs="Times New Roman"/>
                <w:kern w:val="0"/>
                <w:sz w:val="22"/>
                <w:szCs w:val="22"/>
              </w:rPr>
            </w:pPr>
            <w:r>
              <w:rPr>
                <w:rFonts w:hint="eastAsia" w:ascii="黑体" w:hAnsi="宋体" w:eastAsia="黑体" w:cs="黑体"/>
                <w:kern w:val="0"/>
                <w:sz w:val="22"/>
                <w:szCs w:val="22"/>
              </w:rPr>
              <w:t>公开渠道和载体</w:t>
            </w:r>
          </w:p>
        </w:tc>
        <w:tc>
          <w:tcPr>
            <w:tcW w:w="1429" w:type="dxa"/>
            <w:gridSpan w:val="2"/>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公开对象</w:t>
            </w:r>
          </w:p>
        </w:tc>
        <w:tc>
          <w:tcPr>
            <w:tcW w:w="1271" w:type="dxa"/>
            <w:gridSpan w:val="2"/>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公开方式</w:t>
            </w:r>
          </w:p>
        </w:tc>
        <w:tc>
          <w:tcPr>
            <w:tcW w:w="1440" w:type="dxa"/>
            <w:gridSpan w:val="2"/>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s="Times New Roman"/>
                <w:color w:val="000000"/>
                <w:kern w:val="0"/>
                <w:sz w:val="22"/>
                <w:szCs w:val="22"/>
              </w:rPr>
            </w:pPr>
          </w:p>
        </w:tc>
        <w:tc>
          <w:tcPr>
            <w:tcW w:w="90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一级事项</w:t>
            </w:r>
          </w:p>
        </w:tc>
        <w:tc>
          <w:tcPr>
            <w:tcW w:w="126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二级事项</w:t>
            </w:r>
          </w:p>
        </w:tc>
        <w:tc>
          <w:tcPr>
            <w:tcW w:w="1980" w:type="dxa"/>
            <w:vMerge w:val="continue"/>
            <w:vAlign w:val="center"/>
          </w:tcPr>
          <w:p>
            <w:pPr>
              <w:widowControl/>
              <w:jc w:val="left"/>
              <w:rPr>
                <w:rFonts w:ascii="黑体" w:hAnsi="宋体" w:eastAsia="黑体" w:cs="Times New Roman"/>
                <w:color w:val="000000"/>
                <w:kern w:val="0"/>
                <w:sz w:val="22"/>
                <w:szCs w:val="22"/>
              </w:rPr>
            </w:pPr>
          </w:p>
        </w:tc>
        <w:tc>
          <w:tcPr>
            <w:tcW w:w="1800" w:type="dxa"/>
            <w:vMerge w:val="continue"/>
            <w:vAlign w:val="center"/>
          </w:tcPr>
          <w:p>
            <w:pPr>
              <w:widowControl/>
              <w:jc w:val="left"/>
              <w:rPr>
                <w:rFonts w:ascii="黑体" w:hAnsi="宋体" w:eastAsia="黑体" w:cs="Times New Roman"/>
                <w:color w:val="000000"/>
                <w:kern w:val="0"/>
                <w:sz w:val="22"/>
                <w:szCs w:val="22"/>
              </w:rPr>
            </w:pPr>
          </w:p>
        </w:tc>
        <w:tc>
          <w:tcPr>
            <w:tcW w:w="1402" w:type="dxa"/>
            <w:vMerge w:val="continue"/>
            <w:vAlign w:val="center"/>
          </w:tcPr>
          <w:p>
            <w:pPr>
              <w:widowControl/>
              <w:jc w:val="left"/>
              <w:rPr>
                <w:rFonts w:ascii="黑体" w:hAnsi="宋体" w:eastAsia="黑体" w:cs="Times New Roman"/>
                <w:color w:val="000000"/>
                <w:kern w:val="0"/>
                <w:sz w:val="22"/>
                <w:szCs w:val="22"/>
              </w:rPr>
            </w:pPr>
          </w:p>
        </w:tc>
        <w:tc>
          <w:tcPr>
            <w:tcW w:w="1440" w:type="dxa"/>
            <w:vMerge w:val="continue"/>
            <w:vAlign w:val="center"/>
          </w:tcPr>
          <w:p>
            <w:pPr>
              <w:widowControl/>
              <w:jc w:val="left"/>
              <w:rPr>
                <w:rFonts w:ascii="黑体" w:hAnsi="宋体" w:eastAsia="黑体" w:cs="Times New Roman"/>
                <w:color w:val="000000"/>
                <w:kern w:val="0"/>
                <w:sz w:val="22"/>
                <w:szCs w:val="22"/>
              </w:rPr>
            </w:pPr>
          </w:p>
        </w:tc>
        <w:tc>
          <w:tcPr>
            <w:tcW w:w="2018" w:type="dxa"/>
            <w:vMerge w:val="continue"/>
            <w:vAlign w:val="center"/>
          </w:tcPr>
          <w:p>
            <w:pPr>
              <w:widowControl/>
              <w:jc w:val="left"/>
              <w:rPr>
                <w:rFonts w:ascii="黑体" w:hAnsi="宋体" w:eastAsia="黑体" w:cs="Times New Roman"/>
                <w:kern w:val="0"/>
                <w:sz w:val="22"/>
                <w:szCs w:val="22"/>
              </w:rPr>
            </w:pP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全社会</w:t>
            </w:r>
          </w:p>
        </w:tc>
        <w:tc>
          <w:tcPr>
            <w:tcW w:w="709"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特定群众</w:t>
            </w:r>
          </w:p>
        </w:tc>
        <w:tc>
          <w:tcPr>
            <w:tcW w:w="551"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主动</w:t>
            </w: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依申请公开</w:t>
            </w: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县级</w:t>
            </w: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w:t>
            </w:r>
          </w:p>
        </w:tc>
        <w:tc>
          <w:tcPr>
            <w:tcW w:w="9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部门文件</w:t>
            </w:r>
          </w:p>
        </w:tc>
        <w:tc>
          <w:tcPr>
            <w:tcW w:w="126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农村危房改造相关文件</w:t>
            </w:r>
          </w:p>
        </w:tc>
        <w:tc>
          <w:tcPr>
            <w:tcW w:w="1980" w:type="dxa"/>
            <w:vAlign w:val="center"/>
          </w:tcPr>
          <w:p>
            <w:pPr>
              <w:widowControl/>
              <w:rPr>
                <w:rFonts w:ascii="黑体" w:hAnsi="宋体" w:eastAsia="黑体" w:cs="Times New Roman"/>
                <w:color w:val="000000"/>
                <w:kern w:val="0"/>
                <w:sz w:val="22"/>
                <w:szCs w:val="22"/>
              </w:rPr>
            </w:pPr>
            <w:r>
              <w:rPr>
                <w:rFonts w:hint="eastAsia" w:ascii="仿宋_GB2312" w:hAnsi="宋体" w:eastAsia="仿宋_GB2312" w:cs="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Times New Roman"/>
                <w:color w:val="000000"/>
                <w:kern w:val="0"/>
                <w:sz w:val="22"/>
                <w:szCs w:val="22"/>
              </w:rPr>
            </w:pPr>
            <w:r>
              <w:rPr>
                <w:rFonts w:hint="eastAsia" w:ascii="仿宋_GB2312" w:hAnsi="宋体" w:eastAsia="仿宋_GB2312" w:cs="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Times New Roman"/>
                <w:color w:val="000000"/>
                <w:kern w:val="0"/>
                <w:sz w:val="22"/>
                <w:szCs w:val="22"/>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widowControl/>
              <w:rPr>
                <w:rFonts w:ascii="黑体" w:hAnsi="宋体" w:eastAsia="黑体" w:cs="Times New Roman"/>
                <w:color w:val="000000"/>
                <w:kern w:val="0"/>
                <w:sz w:val="22"/>
                <w:szCs w:val="22"/>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widowControl/>
              <w:rPr>
                <w:rFonts w:ascii="黑体" w:hAnsi="宋体" w:eastAsia="黑体" w:cs="Times New Roman"/>
                <w:kern w:val="0"/>
                <w:sz w:val="22"/>
                <w:szCs w:val="22"/>
              </w:rPr>
            </w:pPr>
            <w:r>
              <w:rPr>
                <w:rFonts w:hint="eastAsia" w:ascii="仿宋_GB2312" w:hAnsi="宋体" w:eastAsia="仿宋_GB2312" w:cs="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2</w:t>
            </w:r>
          </w:p>
        </w:tc>
        <w:tc>
          <w:tcPr>
            <w:tcW w:w="90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政策解读</w:t>
            </w:r>
          </w:p>
        </w:tc>
        <w:tc>
          <w:tcPr>
            <w:tcW w:w="126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上级政策解读</w:t>
            </w:r>
          </w:p>
        </w:tc>
        <w:tc>
          <w:tcPr>
            <w:tcW w:w="1980" w:type="dxa"/>
            <w:vMerge w:val="restart"/>
            <w:vAlign w:val="center"/>
          </w:tcPr>
          <w:p>
            <w:pPr>
              <w:widowControl/>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Merge w:val="restart"/>
            <w:vAlign w:val="center"/>
          </w:tcPr>
          <w:p>
            <w:pPr>
              <w:widowControl/>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Merge w:val="restart"/>
            <w:vAlign w:val="center"/>
          </w:tcPr>
          <w:p>
            <w:pPr>
              <w:widowControl/>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3</w:t>
            </w:r>
          </w:p>
        </w:tc>
        <w:tc>
          <w:tcPr>
            <w:tcW w:w="900" w:type="dxa"/>
            <w:vMerge w:val="continue"/>
            <w:vAlign w:val="center"/>
          </w:tcPr>
          <w:p>
            <w:pPr>
              <w:jc w:val="center"/>
              <w:rPr>
                <w:rFonts w:ascii="仿宋_GB2312" w:hAnsi="宋体" w:eastAsia="仿宋_GB2312" w:cs="Times New Roman"/>
                <w:color w:val="000000"/>
                <w:sz w:val="18"/>
                <w:szCs w:val="18"/>
              </w:rPr>
            </w:pPr>
          </w:p>
        </w:tc>
        <w:tc>
          <w:tcPr>
            <w:tcW w:w="126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本级政策解读</w:t>
            </w:r>
          </w:p>
        </w:tc>
        <w:tc>
          <w:tcPr>
            <w:tcW w:w="1980" w:type="dxa"/>
            <w:vMerge w:val="continue"/>
            <w:vAlign w:val="center"/>
          </w:tcPr>
          <w:p>
            <w:pPr>
              <w:widowControl/>
              <w:rPr>
                <w:rFonts w:ascii="仿宋_GB2312" w:hAnsi="宋体" w:eastAsia="仿宋_GB2312" w:cs="Times New Roman"/>
                <w:color w:val="000000"/>
                <w:sz w:val="18"/>
                <w:szCs w:val="18"/>
              </w:rPr>
            </w:pPr>
          </w:p>
        </w:tc>
        <w:tc>
          <w:tcPr>
            <w:tcW w:w="1800" w:type="dxa"/>
            <w:vMerge w:val="continue"/>
            <w:vAlign w:val="center"/>
          </w:tcPr>
          <w:p>
            <w:pPr>
              <w:widowControl/>
              <w:rPr>
                <w:rFonts w:ascii="仿宋_GB2312" w:hAnsi="宋体" w:eastAsia="仿宋_GB2312" w:cs="Times New Roman"/>
                <w:color w:val="000000"/>
                <w:sz w:val="18"/>
                <w:szCs w:val="18"/>
              </w:rPr>
            </w:pPr>
          </w:p>
        </w:tc>
        <w:tc>
          <w:tcPr>
            <w:tcW w:w="1402" w:type="dxa"/>
            <w:vMerge w:val="continue"/>
            <w:vAlign w:val="center"/>
          </w:tcPr>
          <w:p>
            <w:pPr>
              <w:widowControl/>
              <w:rPr>
                <w:rFonts w:ascii="仿宋_GB2312" w:hAnsi="宋体" w:eastAsia="仿宋_GB2312" w:cs="Times New Roman"/>
                <w:color w:val="000000"/>
                <w:sz w:val="18"/>
                <w:szCs w:val="18"/>
              </w:rPr>
            </w:pPr>
          </w:p>
        </w:tc>
        <w:tc>
          <w:tcPr>
            <w:tcW w:w="1440" w:type="dxa"/>
            <w:vMerge w:val="continue"/>
            <w:vAlign w:val="center"/>
          </w:tcPr>
          <w:p>
            <w:pPr>
              <w:widowControl/>
              <w:rPr>
                <w:rFonts w:ascii="仿宋_GB2312" w:hAnsi="宋体" w:eastAsia="仿宋_GB2312" w:cs="Times New Roman"/>
                <w:color w:val="000000"/>
                <w:sz w:val="18"/>
                <w:szCs w:val="18"/>
              </w:rPr>
            </w:pPr>
          </w:p>
        </w:tc>
        <w:tc>
          <w:tcPr>
            <w:tcW w:w="2018" w:type="dxa"/>
            <w:vMerge w:val="continue"/>
            <w:vAlign w:val="center"/>
          </w:tcPr>
          <w:p>
            <w:pPr>
              <w:widowControl/>
              <w:rPr>
                <w:rFonts w:ascii="仿宋_GB2312" w:hAnsi="宋体" w:eastAsia="仿宋_GB2312" w:cs="Times New Roman"/>
                <w:color w:val="000000"/>
                <w:sz w:val="18"/>
                <w:szCs w:val="18"/>
              </w:rPr>
            </w:pPr>
          </w:p>
        </w:tc>
        <w:tc>
          <w:tcPr>
            <w:tcW w:w="720" w:type="dxa"/>
            <w:vMerge w:val="continue"/>
            <w:vAlign w:val="center"/>
          </w:tcPr>
          <w:p>
            <w:pPr>
              <w:jc w:val="center"/>
              <w:rPr>
                <w:rFonts w:ascii="仿宋_GB2312" w:hAnsi="宋体" w:eastAsia="仿宋_GB2312" w:cs="Times New Roman"/>
                <w:color w:val="000000"/>
                <w:sz w:val="18"/>
                <w:szCs w:val="18"/>
              </w:rPr>
            </w:pPr>
          </w:p>
        </w:tc>
        <w:tc>
          <w:tcPr>
            <w:tcW w:w="709" w:type="dxa"/>
            <w:vMerge w:val="continue"/>
            <w:vAlign w:val="center"/>
          </w:tcPr>
          <w:p>
            <w:pPr>
              <w:jc w:val="center"/>
              <w:rPr>
                <w:rFonts w:ascii="仿宋_GB2312" w:hAnsi="宋体" w:eastAsia="仿宋_GB2312" w:cs="Times New Roman"/>
                <w:color w:val="000000"/>
                <w:sz w:val="18"/>
                <w:szCs w:val="18"/>
              </w:rPr>
            </w:pPr>
          </w:p>
        </w:tc>
        <w:tc>
          <w:tcPr>
            <w:tcW w:w="551" w:type="dxa"/>
            <w:vMerge w:val="continue"/>
            <w:vAlign w:val="center"/>
          </w:tcPr>
          <w:p>
            <w:pPr>
              <w:jc w:val="center"/>
              <w:rPr>
                <w:rFonts w:ascii="仿宋_GB2312" w:hAnsi="宋体" w:eastAsia="仿宋_GB2312" w:cs="Times New Roman"/>
                <w:color w:val="000000"/>
                <w:sz w:val="18"/>
                <w:szCs w:val="18"/>
              </w:rPr>
            </w:pPr>
          </w:p>
        </w:tc>
        <w:tc>
          <w:tcPr>
            <w:tcW w:w="720" w:type="dxa"/>
            <w:vMerge w:val="continue"/>
            <w:vAlign w:val="center"/>
          </w:tcPr>
          <w:p>
            <w:pPr>
              <w:jc w:val="center"/>
              <w:rPr>
                <w:rFonts w:ascii="仿宋_GB2312" w:hAnsi="宋体" w:eastAsia="仿宋_GB2312" w:cs="Times New Roman"/>
                <w:color w:val="000000"/>
                <w:sz w:val="18"/>
                <w:szCs w:val="18"/>
              </w:rPr>
            </w:pPr>
          </w:p>
        </w:tc>
        <w:tc>
          <w:tcPr>
            <w:tcW w:w="720" w:type="dxa"/>
            <w:vMerge w:val="continue"/>
            <w:vAlign w:val="center"/>
          </w:tcPr>
          <w:p>
            <w:pPr>
              <w:jc w:val="center"/>
              <w:rPr>
                <w:rFonts w:ascii="仿宋_GB2312" w:hAnsi="宋体" w:eastAsia="仿宋_GB2312" w:cs="Times New Roman"/>
                <w:color w:val="000000"/>
                <w:sz w:val="18"/>
                <w:szCs w:val="18"/>
              </w:rPr>
            </w:pPr>
          </w:p>
        </w:tc>
        <w:tc>
          <w:tcPr>
            <w:tcW w:w="720" w:type="dxa"/>
            <w:vMerge w:val="continue"/>
            <w:vAlign w:val="center"/>
          </w:tcPr>
          <w:p>
            <w:pPr>
              <w:jc w:val="cente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4</w:t>
            </w:r>
          </w:p>
        </w:tc>
        <w:tc>
          <w:tcPr>
            <w:tcW w:w="90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计划实施</w:t>
            </w:r>
          </w:p>
        </w:tc>
        <w:tc>
          <w:tcPr>
            <w:tcW w:w="126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任务分配</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《住房城乡建设部</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财政部</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分配结果确定后</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办事大厅、公示栏、便民服务窗口等场所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p>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5</w:t>
            </w:r>
          </w:p>
        </w:tc>
        <w:tc>
          <w:tcPr>
            <w:tcW w:w="900" w:type="dxa"/>
            <w:vMerge w:val="continue"/>
            <w:vAlign w:val="center"/>
          </w:tcPr>
          <w:p>
            <w:pPr>
              <w:jc w:val="center"/>
              <w:rPr>
                <w:rFonts w:ascii="仿宋_GB2312" w:hAnsi="宋体" w:eastAsia="仿宋_GB2312" w:cs="Times New Roman"/>
                <w:color w:val="000000"/>
                <w:sz w:val="18"/>
                <w:szCs w:val="18"/>
              </w:rPr>
            </w:pPr>
          </w:p>
        </w:tc>
        <w:tc>
          <w:tcPr>
            <w:tcW w:w="126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组织培训</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s="Times New Roman"/>
                <w:color w:val="000000"/>
                <w:sz w:val="18"/>
                <w:szCs w:val="18"/>
              </w:rPr>
            </w:pP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6</w:t>
            </w:r>
          </w:p>
        </w:tc>
        <w:tc>
          <w:tcPr>
            <w:tcW w:w="90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条件与标准</w:t>
            </w:r>
          </w:p>
        </w:tc>
        <w:tc>
          <w:tcPr>
            <w:tcW w:w="126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农村危房等级评定标准</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农村危房等级评定相关标准</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《预算法》、《政府信息公开条例》、《住房城乡建设部</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财政部关于印发农村危房改造脱贫攻坚三年行动方案的通知》、《住房城乡建设部</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财政部</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7</w:t>
            </w:r>
          </w:p>
        </w:tc>
        <w:tc>
          <w:tcPr>
            <w:tcW w:w="900" w:type="dxa"/>
            <w:vMerge w:val="continue"/>
            <w:vAlign w:val="center"/>
          </w:tcPr>
          <w:p>
            <w:pPr>
              <w:jc w:val="center"/>
              <w:rPr>
                <w:rFonts w:ascii="仿宋_GB2312" w:hAnsi="宋体" w:eastAsia="仿宋_GB2312" w:cs="Times New Roman"/>
                <w:color w:val="000000"/>
                <w:sz w:val="18"/>
                <w:szCs w:val="18"/>
              </w:rPr>
            </w:pPr>
          </w:p>
        </w:tc>
        <w:tc>
          <w:tcPr>
            <w:tcW w:w="126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农村危房改造对象申请条件</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农村危房改造农户申请条件</w:t>
            </w:r>
          </w:p>
        </w:tc>
        <w:tc>
          <w:tcPr>
            <w:tcW w:w="18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同上</w:t>
            </w: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8</w:t>
            </w:r>
          </w:p>
        </w:tc>
        <w:tc>
          <w:tcPr>
            <w:tcW w:w="90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条件与标准</w:t>
            </w:r>
          </w:p>
        </w:tc>
        <w:tc>
          <w:tcPr>
            <w:tcW w:w="126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农村危房改造资金补助标准</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农村危房改造资金补助标准</w:t>
            </w:r>
          </w:p>
        </w:tc>
        <w:tc>
          <w:tcPr>
            <w:tcW w:w="18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同上</w:t>
            </w: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auto"/>
                <w:kern w:val="0"/>
                <w:sz w:val="16"/>
                <w:szCs w:val="16"/>
              </w:rPr>
            </w:pPr>
            <w:r>
              <w:rPr>
                <w:rFonts w:ascii="Times New Roman" w:hAnsi="Times New Roman" w:cs="Times New Roman"/>
                <w:color w:val="auto"/>
                <w:kern w:val="0"/>
                <w:sz w:val="16"/>
                <w:szCs w:val="16"/>
              </w:rPr>
              <w:t>9</w:t>
            </w:r>
          </w:p>
        </w:tc>
        <w:tc>
          <w:tcPr>
            <w:tcW w:w="900" w:type="dxa"/>
            <w:vMerge w:val="continue"/>
            <w:vAlign w:val="center"/>
          </w:tcPr>
          <w:p>
            <w:pPr>
              <w:jc w:val="center"/>
              <w:rPr>
                <w:rFonts w:ascii="仿宋_GB2312" w:hAnsi="宋体" w:eastAsia="仿宋_GB2312" w:cs="Times New Roman"/>
                <w:color w:val="auto"/>
                <w:sz w:val="18"/>
                <w:szCs w:val="18"/>
              </w:rPr>
            </w:pPr>
          </w:p>
        </w:tc>
        <w:tc>
          <w:tcPr>
            <w:tcW w:w="1260" w:type="dxa"/>
            <w:vAlign w:val="center"/>
          </w:tcPr>
          <w:p>
            <w:pPr>
              <w:jc w:val="cente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农村危房改造竣工合格标准</w:t>
            </w:r>
          </w:p>
        </w:tc>
        <w:tc>
          <w:tcPr>
            <w:tcW w:w="1980" w:type="dxa"/>
            <w:vAlign w:val="center"/>
          </w:tcPr>
          <w:p>
            <w:pP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农村危房改造竣工验收要求</w:t>
            </w:r>
          </w:p>
        </w:tc>
        <w:tc>
          <w:tcPr>
            <w:tcW w:w="1800" w:type="dxa"/>
            <w:vAlign w:val="center"/>
          </w:tcPr>
          <w:p>
            <w:pPr>
              <w:jc w:val="cente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同上</w:t>
            </w:r>
          </w:p>
        </w:tc>
        <w:tc>
          <w:tcPr>
            <w:tcW w:w="1402" w:type="dxa"/>
            <w:vAlign w:val="center"/>
          </w:tcPr>
          <w:p>
            <w:pP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信息形成之日起</w:t>
            </w:r>
            <w:r>
              <w:rPr>
                <w:rFonts w:ascii="仿宋_GB2312" w:hAnsi="宋体" w:eastAsia="仿宋_GB2312" w:cs="仿宋_GB2312"/>
                <w:color w:val="auto"/>
                <w:sz w:val="18"/>
                <w:szCs w:val="18"/>
              </w:rPr>
              <w:t>20</w:t>
            </w:r>
            <w:r>
              <w:rPr>
                <w:rFonts w:hint="eastAsia" w:ascii="仿宋_GB2312" w:hAnsi="宋体" w:eastAsia="仿宋_GB2312" w:cs="仿宋_GB2312"/>
                <w:color w:val="auto"/>
                <w:sz w:val="18"/>
                <w:szCs w:val="18"/>
              </w:rPr>
              <w:t>个工作日内</w:t>
            </w:r>
          </w:p>
        </w:tc>
        <w:tc>
          <w:tcPr>
            <w:tcW w:w="1440" w:type="dxa"/>
            <w:vAlign w:val="center"/>
          </w:tcPr>
          <w:p>
            <w:pPr>
              <w:rPr>
                <w:rFonts w:ascii="仿宋_GB2312" w:hAnsi="宋体" w:eastAsia="仿宋_GB2312" w:cs="Times New Roman"/>
                <w:color w:val="auto"/>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政府门户网站、公示栏等平台和办事大厅、便民服务窗口等场所</w:t>
            </w:r>
          </w:p>
        </w:tc>
        <w:tc>
          <w:tcPr>
            <w:tcW w:w="720" w:type="dxa"/>
            <w:vAlign w:val="center"/>
          </w:tcPr>
          <w:p>
            <w:pPr>
              <w:jc w:val="cente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w:t>
            </w:r>
          </w:p>
        </w:tc>
        <w:tc>
          <w:tcPr>
            <w:tcW w:w="709" w:type="dxa"/>
            <w:vAlign w:val="center"/>
          </w:tcPr>
          <w:p>
            <w:pPr>
              <w:jc w:val="center"/>
              <w:rPr>
                <w:rFonts w:ascii="仿宋_GB2312" w:hAnsi="宋体" w:eastAsia="仿宋_GB2312" w:cs="Times New Roman"/>
                <w:color w:val="auto"/>
                <w:sz w:val="18"/>
                <w:szCs w:val="18"/>
              </w:rPr>
            </w:pPr>
          </w:p>
        </w:tc>
        <w:tc>
          <w:tcPr>
            <w:tcW w:w="551" w:type="dxa"/>
            <w:vAlign w:val="center"/>
          </w:tcPr>
          <w:p>
            <w:pPr>
              <w:jc w:val="cente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w:t>
            </w:r>
          </w:p>
        </w:tc>
        <w:tc>
          <w:tcPr>
            <w:tcW w:w="720" w:type="dxa"/>
            <w:vAlign w:val="center"/>
          </w:tcPr>
          <w:p>
            <w:pPr>
              <w:jc w:val="center"/>
              <w:rPr>
                <w:rFonts w:ascii="仿宋_GB2312" w:hAnsi="宋体" w:eastAsia="仿宋_GB2312" w:cs="Times New Roman"/>
                <w:color w:val="auto"/>
                <w:sz w:val="18"/>
                <w:szCs w:val="18"/>
              </w:rPr>
            </w:pPr>
          </w:p>
        </w:tc>
        <w:tc>
          <w:tcPr>
            <w:tcW w:w="720" w:type="dxa"/>
            <w:vAlign w:val="center"/>
          </w:tcPr>
          <w:p>
            <w:pPr>
              <w:jc w:val="cente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w:t>
            </w:r>
          </w:p>
        </w:tc>
        <w:tc>
          <w:tcPr>
            <w:tcW w:w="720" w:type="dxa"/>
            <w:vAlign w:val="center"/>
          </w:tcPr>
          <w:p>
            <w:pPr>
              <w:jc w:val="center"/>
              <w:rPr>
                <w:rFonts w:ascii="仿宋_GB2312" w:hAnsi="宋体" w:eastAsia="仿宋_GB2312" w:cs="Times New Roman"/>
                <w:color w:val="auto"/>
                <w:sz w:val="18"/>
                <w:szCs w:val="18"/>
              </w:rPr>
            </w:pPr>
            <w:r>
              <w:rPr>
                <w:rFonts w:hint="eastAsia" w:ascii="仿宋_GB2312" w:hAnsi="宋体" w:eastAsia="仿宋_GB2312" w:cs="仿宋_GB2312"/>
                <w:color w:val="auto"/>
                <w:sz w:val="18"/>
                <w:szCs w:val="18"/>
              </w:rPr>
              <w:t>√（建议删除，没有相关危旧房改造竣工标准）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10</w:t>
            </w:r>
          </w:p>
        </w:tc>
        <w:tc>
          <w:tcPr>
            <w:tcW w:w="90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对象认定</w:t>
            </w:r>
          </w:p>
        </w:tc>
        <w:tc>
          <w:tcPr>
            <w:tcW w:w="126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危改户认定程序</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农村危房改造申请程序</w:t>
            </w:r>
          </w:p>
        </w:tc>
        <w:tc>
          <w:tcPr>
            <w:tcW w:w="18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同上</w:t>
            </w: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11</w:t>
            </w:r>
          </w:p>
        </w:tc>
        <w:tc>
          <w:tcPr>
            <w:tcW w:w="900" w:type="dxa"/>
            <w:vMerge w:val="continue"/>
            <w:vAlign w:val="center"/>
          </w:tcPr>
          <w:p>
            <w:pPr>
              <w:jc w:val="center"/>
              <w:rPr>
                <w:rFonts w:ascii="仿宋_GB2312" w:hAnsi="宋体" w:eastAsia="仿宋_GB2312" w:cs="Times New Roman"/>
                <w:color w:val="000000"/>
                <w:sz w:val="18"/>
                <w:szCs w:val="18"/>
              </w:rPr>
            </w:pPr>
          </w:p>
        </w:tc>
        <w:tc>
          <w:tcPr>
            <w:tcW w:w="126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认定结果</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认定结果</w:t>
            </w:r>
          </w:p>
        </w:tc>
        <w:tc>
          <w:tcPr>
            <w:tcW w:w="18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同上</w:t>
            </w: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各</w:t>
            </w:r>
            <w:r>
              <w:rPr>
                <w:rFonts w:hint="eastAsia" w:ascii="仿宋_GB2312" w:hAnsi="宋体" w:eastAsia="仿宋_GB2312" w:cs="仿宋_GB2312"/>
                <w:color w:val="000000"/>
                <w:sz w:val="18"/>
                <w:szCs w:val="18"/>
              </w:rPr>
              <w:t>乡镇人民政府、村委会</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办事大厅、公示栏、便民服务窗口等场所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12</w:t>
            </w:r>
          </w:p>
        </w:tc>
        <w:tc>
          <w:tcPr>
            <w:tcW w:w="9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预算管理</w:t>
            </w:r>
          </w:p>
        </w:tc>
        <w:tc>
          <w:tcPr>
            <w:tcW w:w="126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预算编制和执行情况</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同上</w:t>
            </w: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经县级人民代表大会、人民代表大会常务委员会批准或财政部门批复后</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办事大厅、公示栏、便民服务窗口等场所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13</w:t>
            </w:r>
          </w:p>
        </w:tc>
        <w:tc>
          <w:tcPr>
            <w:tcW w:w="9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决策部署</w:t>
            </w:r>
          </w:p>
        </w:tc>
        <w:tc>
          <w:tcPr>
            <w:tcW w:w="126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决策部署落实情况</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决策部署落实情况等</w:t>
            </w:r>
          </w:p>
        </w:tc>
        <w:tc>
          <w:tcPr>
            <w:tcW w:w="18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《关于全面推进政务公开工作的意见》及其实施细则</w:t>
            </w: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办事大厅、公示栏、便民服务窗口等场所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14</w:t>
            </w:r>
          </w:p>
        </w:tc>
        <w:tc>
          <w:tcPr>
            <w:tcW w:w="90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年度任务实施</w:t>
            </w:r>
          </w:p>
        </w:tc>
        <w:tc>
          <w:tcPr>
            <w:tcW w:w="126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年度任务执行情况</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年度工作完成情况等</w:t>
            </w:r>
          </w:p>
        </w:tc>
        <w:tc>
          <w:tcPr>
            <w:tcW w:w="1800" w:type="dxa"/>
            <w:vMerge w:val="continue"/>
            <w:vAlign w:val="center"/>
          </w:tcPr>
          <w:p>
            <w:pPr>
              <w:rPr>
                <w:rFonts w:ascii="仿宋_GB2312" w:hAnsi="宋体" w:eastAsia="仿宋_GB2312" w:cs="Times New Roman"/>
                <w:color w:val="000000"/>
                <w:sz w:val="18"/>
                <w:szCs w:val="18"/>
              </w:rPr>
            </w:pP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青田县农村危旧房改造暨旧村改造工作指挥部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办事大厅、公示栏、便民服务窗口等场所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15</w:t>
            </w:r>
          </w:p>
        </w:tc>
        <w:tc>
          <w:tcPr>
            <w:tcW w:w="90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舆情收集、热点及关键问题回应</w:t>
            </w:r>
          </w:p>
        </w:tc>
        <w:tc>
          <w:tcPr>
            <w:tcW w:w="126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舆情收集回应</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信息形成之日</w:t>
            </w:r>
          </w:p>
          <w:p>
            <w:pPr>
              <w:ind w:right="-304" w:rightChars="-145"/>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w:t>
            </w:r>
          </w:p>
          <w:p>
            <w:pPr>
              <w:ind w:right="-304" w:rightChars="-145"/>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内</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县</w:t>
            </w:r>
            <w:r>
              <w:rPr>
                <w:rFonts w:hint="eastAsia" w:ascii="仿宋_GB2312" w:hAnsi="宋体" w:eastAsia="仿宋_GB2312" w:cs="仿宋_GB2312"/>
                <w:color w:val="000000"/>
                <w:sz w:val="18"/>
                <w:szCs w:val="18"/>
              </w:rPr>
              <w:t>政府、县级等相关职能部门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16</w:t>
            </w:r>
          </w:p>
        </w:tc>
        <w:tc>
          <w:tcPr>
            <w:tcW w:w="900" w:type="dxa"/>
            <w:vMerge w:val="continue"/>
            <w:vAlign w:val="center"/>
          </w:tcPr>
          <w:p>
            <w:pPr>
              <w:jc w:val="center"/>
              <w:rPr>
                <w:rFonts w:ascii="仿宋_GB2312" w:hAnsi="宋体" w:eastAsia="仿宋_GB2312" w:cs="Times New Roman"/>
                <w:color w:val="000000"/>
                <w:sz w:val="18"/>
                <w:szCs w:val="18"/>
              </w:rPr>
            </w:pPr>
          </w:p>
        </w:tc>
        <w:tc>
          <w:tcPr>
            <w:tcW w:w="126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互动回应</w:t>
            </w:r>
          </w:p>
        </w:tc>
        <w:tc>
          <w:tcPr>
            <w:tcW w:w="19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s="Times New Roman"/>
                <w:color w:val="000000"/>
                <w:sz w:val="18"/>
                <w:szCs w:val="18"/>
              </w:rPr>
            </w:pPr>
          </w:p>
        </w:tc>
        <w:tc>
          <w:tcPr>
            <w:tcW w:w="1402"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县</w:t>
            </w:r>
            <w:r>
              <w:rPr>
                <w:rFonts w:hint="eastAsia" w:ascii="仿宋_GB2312" w:hAnsi="宋体" w:eastAsia="仿宋_GB2312" w:cs="仿宋_GB2312"/>
                <w:color w:val="000000"/>
                <w:sz w:val="18"/>
                <w:szCs w:val="18"/>
              </w:rPr>
              <w:t>政府、县级等相关职能部门</w:t>
            </w:r>
          </w:p>
        </w:tc>
        <w:tc>
          <w:tcPr>
            <w:tcW w:w="2018"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办事大厅、公示栏、便民服务窗口等场所</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bl>
    <w:p>
      <w:pPr>
        <w:pStyle w:val="2"/>
        <w:spacing w:before="0" w:after="0" w:line="560" w:lineRule="exact"/>
        <w:jc w:val="center"/>
        <w:rPr>
          <w:rFonts w:ascii="方正小标宋_GBK" w:hAnsi="方正小标宋_GBK" w:eastAsia="方正小标宋_GBK" w:cs="Times New Roman"/>
          <w:b w:val="0"/>
          <w:bCs w:val="0"/>
          <w:sz w:val="30"/>
          <w:szCs w:val="30"/>
        </w:rPr>
      </w:pPr>
      <w:bookmarkStart w:id="1" w:name="_Toc24724720"/>
    </w:p>
    <w:p>
      <w:pPr>
        <w:pStyle w:val="2"/>
        <w:spacing w:before="0" w:after="0" w:line="240" w:lineRule="exact"/>
        <w:jc w:val="center"/>
        <w:rPr>
          <w:rFonts w:ascii="方正小标宋_GBK" w:hAnsi="方正小标宋_GBK" w:eastAsia="方正小标宋_GBK" w:cs="Times New Roman"/>
          <w:b w:val="0"/>
          <w:bCs w:val="0"/>
          <w:sz w:val="30"/>
          <w:szCs w:val="30"/>
        </w:rPr>
      </w:pPr>
    </w:p>
    <w:p>
      <w:pPr>
        <w:pStyle w:val="2"/>
        <w:spacing w:before="0" w:after="0" w:line="240" w:lineRule="exact"/>
        <w:jc w:val="center"/>
        <w:rPr>
          <w:rFonts w:ascii="方正小标宋_GBK" w:hAnsi="方正小标宋_GBK" w:eastAsia="方正小标宋_GBK" w:cs="Times New Roman"/>
          <w:b w:val="0"/>
          <w:bCs w:val="0"/>
          <w:sz w:val="30"/>
          <w:szCs w:val="30"/>
        </w:rPr>
      </w:pPr>
    </w:p>
    <w:p>
      <w:pPr>
        <w:rPr>
          <w:rFonts w:cs="Times New Roman"/>
        </w:rPr>
      </w:pPr>
    </w:p>
    <w:p>
      <w:pPr>
        <w:rPr>
          <w:rFonts w:cs="Times New Roman"/>
        </w:rPr>
      </w:pPr>
    </w:p>
    <w:p>
      <w:pPr>
        <w:rPr>
          <w:rFonts w:cs="Times New Roman"/>
        </w:rPr>
      </w:pPr>
    </w:p>
    <w:p>
      <w:pPr>
        <w:rPr>
          <w:rFonts w:cs="Times New Roman"/>
        </w:rPr>
      </w:pPr>
    </w:p>
    <w:bookmarkEnd w:id="0"/>
    <w:bookmarkEnd w:id="1"/>
    <w:p>
      <w:pPr>
        <w:rPr>
          <w:rFonts w:cs="Times New Roman"/>
        </w:rPr>
      </w:pPr>
      <w:bookmarkStart w:id="2" w:name="_GoBack"/>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10380C"/>
    <w:rsid w:val="00481792"/>
    <w:rsid w:val="00527A16"/>
    <w:rsid w:val="005766E1"/>
    <w:rsid w:val="00BA6E8A"/>
    <w:rsid w:val="00F241EA"/>
    <w:rsid w:val="06264DF1"/>
    <w:rsid w:val="09C8382A"/>
    <w:rsid w:val="11A81D8C"/>
    <w:rsid w:val="19EB18CB"/>
    <w:rsid w:val="1CF25E48"/>
    <w:rsid w:val="21EC49C1"/>
    <w:rsid w:val="266B74E4"/>
    <w:rsid w:val="28DB4371"/>
    <w:rsid w:val="40F137C6"/>
    <w:rsid w:val="4D0306B0"/>
    <w:rsid w:val="5610380C"/>
    <w:rsid w:val="5F8F405C"/>
    <w:rsid w:val="60F5534A"/>
    <w:rsid w:val="6568342D"/>
    <w:rsid w:val="65C64732"/>
    <w:rsid w:val="716B24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5"/>
    <w:qFormat/>
    <w:uiPriority w:val="99"/>
    <w:pPr>
      <w:keepNext/>
      <w:keepLines/>
      <w:spacing w:before="340" w:after="330" w:line="578" w:lineRule="auto"/>
      <w:outlineLvl w:val="0"/>
    </w:pPr>
    <w:rPr>
      <w:b/>
      <w:bCs/>
      <w:kern w:val="44"/>
      <w:sz w:val="44"/>
      <w:szCs w:val="44"/>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Heading 1 Char"/>
    <w:basedOn w:val="4"/>
    <w:link w:val="2"/>
    <w:qFormat/>
    <w:uiPriority w:val="9"/>
    <w:rPr>
      <w:rFonts w:ascii="Calibri" w:hAnsi="Calibri" w:cs="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25</Pages>
  <Words>1822</Words>
  <Characters>10391</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2020-07-09T09:47:00Z</dcterms:created>
  <dc:creator>Administrator</dc:creator>
  <cp:lastModifiedBy>jione</cp:lastModifiedBy>
  <cp:lastPrinted>2020-08-13T01:57:00Z</cp:lastPrinted>
  <dcterms:modified xsi:type="dcterms:W3CDTF">2020-09-28T07:16:55Z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