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cs="Times New Roman"/>
          <w:b w:val="0"/>
          <w:bCs w:val="0"/>
          <w:sz w:val="30"/>
          <w:szCs w:val="30"/>
        </w:rPr>
      </w:pPr>
      <w:bookmarkStart w:id="0" w:name="_Toc24724717"/>
      <w:bookmarkStart w:id="1" w:name="_Toc24724721"/>
      <w:r>
        <w:rPr>
          <w:rFonts w:hint="eastAsia" w:ascii="方正小标宋_GBK" w:hAnsi="方正小标宋_GBK" w:eastAsia="方正小标宋_GBK" w:cs="方正小标宋_GBK"/>
          <w:b w:val="0"/>
          <w:bCs w:val="0"/>
          <w:sz w:val="30"/>
          <w:szCs w:val="30"/>
        </w:rPr>
        <w:t>（十四）保障性住房领域基层政务公开标准目录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s="Times New Roman"/>
                <w:color w:val="000000"/>
                <w:kern w:val="0"/>
                <w:sz w:val="22"/>
                <w:szCs w:val="22"/>
              </w:rPr>
            </w:pPr>
            <w:r>
              <w:rPr>
                <w:rFonts w:hint="eastAsia" w:ascii="Times New Roman" w:hAnsi="宋体" w:cs="宋体"/>
                <w:color w:val="000000"/>
                <w:kern w:val="0"/>
                <w:sz w:val="22"/>
                <w:szCs w:val="22"/>
              </w:rPr>
              <w:t>序号</w:t>
            </w:r>
          </w:p>
        </w:tc>
        <w:tc>
          <w:tcPr>
            <w:tcW w:w="1994"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公开事项</w:t>
            </w:r>
          </w:p>
        </w:tc>
        <w:tc>
          <w:tcPr>
            <w:tcW w:w="1800"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公开内容（要素）</w:t>
            </w:r>
          </w:p>
        </w:tc>
        <w:tc>
          <w:tcPr>
            <w:tcW w:w="3600"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公开依据</w:t>
            </w:r>
          </w:p>
        </w:tc>
        <w:tc>
          <w:tcPr>
            <w:tcW w:w="1080"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公开时限</w:t>
            </w:r>
          </w:p>
        </w:tc>
        <w:tc>
          <w:tcPr>
            <w:tcW w:w="1080" w:type="dxa"/>
            <w:vMerge w:val="restart"/>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公开主体</w:t>
            </w:r>
          </w:p>
        </w:tc>
        <w:tc>
          <w:tcPr>
            <w:tcW w:w="1246" w:type="dxa"/>
            <w:vMerge w:val="restart"/>
            <w:vAlign w:val="center"/>
          </w:tcPr>
          <w:p>
            <w:pPr>
              <w:widowControl/>
              <w:jc w:val="center"/>
              <w:rPr>
                <w:rFonts w:ascii="黑体" w:hAnsi="宋体" w:eastAsia="黑体" w:cs="Times New Roman"/>
                <w:kern w:val="0"/>
                <w:sz w:val="22"/>
                <w:szCs w:val="22"/>
              </w:rPr>
            </w:pPr>
            <w:r>
              <w:rPr>
                <w:rFonts w:hint="eastAsia" w:ascii="黑体" w:hAnsi="宋体" w:eastAsia="黑体" w:cs="黑体"/>
                <w:kern w:val="0"/>
                <w:sz w:val="22"/>
                <w:szCs w:val="22"/>
              </w:rPr>
              <w:t>公开渠道和载体</w:t>
            </w:r>
          </w:p>
        </w:tc>
        <w:tc>
          <w:tcPr>
            <w:tcW w:w="1429"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公开对象</w:t>
            </w:r>
          </w:p>
        </w:tc>
        <w:tc>
          <w:tcPr>
            <w:tcW w:w="1271"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公开方式</w:t>
            </w:r>
          </w:p>
        </w:tc>
        <w:tc>
          <w:tcPr>
            <w:tcW w:w="1440" w:type="dxa"/>
            <w:gridSpan w:val="2"/>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s="Times New Roman"/>
                <w:color w:val="000000"/>
                <w:kern w:val="0"/>
                <w:sz w:val="22"/>
                <w:szCs w:val="22"/>
              </w:rPr>
            </w:pP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一级事项</w:t>
            </w:r>
          </w:p>
        </w:tc>
        <w:tc>
          <w:tcPr>
            <w:tcW w:w="1274"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二级事项</w:t>
            </w:r>
          </w:p>
        </w:tc>
        <w:tc>
          <w:tcPr>
            <w:tcW w:w="1800" w:type="dxa"/>
            <w:vMerge w:val="continue"/>
            <w:vAlign w:val="center"/>
          </w:tcPr>
          <w:p>
            <w:pPr>
              <w:widowControl/>
              <w:jc w:val="left"/>
              <w:rPr>
                <w:rFonts w:ascii="黑体" w:hAnsi="宋体" w:eastAsia="黑体" w:cs="Times New Roman"/>
                <w:color w:val="000000"/>
                <w:kern w:val="0"/>
                <w:sz w:val="22"/>
                <w:szCs w:val="22"/>
              </w:rPr>
            </w:pPr>
          </w:p>
        </w:tc>
        <w:tc>
          <w:tcPr>
            <w:tcW w:w="3600" w:type="dxa"/>
            <w:vMerge w:val="continue"/>
            <w:vAlign w:val="center"/>
          </w:tcPr>
          <w:p>
            <w:pPr>
              <w:widowControl/>
              <w:jc w:val="left"/>
              <w:rPr>
                <w:rFonts w:ascii="黑体" w:hAnsi="宋体" w:eastAsia="黑体" w:cs="Times New Roman"/>
                <w:color w:val="000000"/>
                <w:kern w:val="0"/>
                <w:sz w:val="22"/>
                <w:szCs w:val="22"/>
              </w:rPr>
            </w:pPr>
          </w:p>
        </w:tc>
        <w:tc>
          <w:tcPr>
            <w:tcW w:w="1080" w:type="dxa"/>
            <w:vMerge w:val="continue"/>
            <w:vAlign w:val="center"/>
          </w:tcPr>
          <w:p>
            <w:pPr>
              <w:widowControl/>
              <w:jc w:val="left"/>
              <w:rPr>
                <w:rFonts w:ascii="黑体" w:hAnsi="宋体" w:eastAsia="黑体" w:cs="Times New Roman"/>
                <w:color w:val="000000"/>
                <w:kern w:val="0"/>
                <w:sz w:val="22"/>
                <w:szCs w:val="22"/>
              </w:rPr>
            </w:pPr>
          </w:p>
        </w:tc>
        <w:tc>
          <w:tcPr>
            <w:tcW w:w="1080" w:type="dxa"/>
            <w:vMerge w:val="continue"/>
            <w:vAlign w:val="center"/>
          </w:tcPr>
          <w:p>
            <w:pPr>
              <w:widowControl/>
              <w:jc w:val="left"/>
              <w:rPr>
                <w:rFonts w:ascii="黑体" w:hAnsi="宋体" w:eastAsia="黑体" w:cs="Times New Roman"/>
                <w:color w:val="000000"/>
                <w:kern w:val="0"/>
                <w:sz w:val="22"/>
                <w:szCs w:val="22"/>
              </w:rPr>
            </w:pPr>
          </w:p>
        </w:tc>
        <w:tc>
          <w:tcPr>
            <w:tcW w:w="1246" w:type="dxa"/>
            <w:vMerge w:val="continue"/>
            <w:vAlign w:val="center"/>
          </w:tcPr>
          <w:p>
            <w:pPr>
              <w:widowControl/>
              <w:jc w:val="left"/>
              <w:rPr>
                <w:rFonts w:ascii="黑体" w:hAnsi="宋体" w:eastAsia="黑体" w:cs="Times New Roman"/>
                <w:kern w:val="0"/>
                <w:sz w:val="22"/>
                <w:szCs w:val="22"/>
              </w:rPr>
            </w:pP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全社会</w:t>
            </w:r>
          </w:p>
        </w:tc>
        <w:tc>
          <w:tcPr>
            <w:tcW w:w="709"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特定群众</w:t>
            </w:r>
          </w:p>
        </w:tc>
        <w:tc>
          <w:tcPr>
            <w:tcW w:w="551"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主动</w:t>
            </w: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依申请公开</w:t>
            </w: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县级</w:t>
            </w:r>
          </w:p>
        </w:tc>
        <w:tc>
          <w:tcPr>
            <w:tcW w:w="720" w:type="dxa"/>
            <w:vAlign w:val="center"/>
          </w:tcPr>
          <w:p>
            <w:pPr>
              <w:widowControl/>
              <w:jc w:val="center"/>
              <w:rPr>
                <w:rFonts w:ascii="黑体" w:hAnsi="宋体" w:eastAsia="黑体" w:cs="Times New Roman"/>
                <w:color w:val="000000"/>
                <w:kern w:val="0"/>
                <w:sz w:val="22"/>
                <w:szCs w:val="22"/>
              </w:rPr>
            </w:pPr>
            <w:r>
              <w:rPr>
                <w:rFonts w:hint="eastAsia" w:ascii="黑体" w:hAnsi="宋体" w:eastAsia="黑体" w:cs="黑体"/>
                <w:color w:val="000000"/>
                <w:kern w:val="0"/>
                <w:sz w:val="22"/>
                <w:szCs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法规政策</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法律法规</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文件名称；</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文号；</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发布部门；</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发布日期；</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实施日期；</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正文。</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财政部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财政部关于做好城镇住房保障家庭租赁补贴工作的指导意见》、《国务院办公厅关于推进公共资源配置领域政府信息公开的意见》、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信息获取（形成、变更）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hint="eastAsia" w:ascii="仿宋_GB2312" w:hAnsi="宋体" w:eastAsia="仿宋_GB2312" w:cs="Times New Roman"/>
                <w:color w:val="000000"/>
                <w:sz w:val="18"/>
                <w:szCs w:val="18"/>
                <w:lang w:eastAsia="zh-CN"/>
              </w:rPr>
            </w:pPr>
            <w:r>
              <w:rPr>
                <w:rFonts w:hint="eastAsia" w:ascii="仿宋_GB2312" w:hAnsi="宋体" w:eastAsia="仿宋_GB2312" w:cs="仿宋_GB2312"/>
                <w:color w:val="000000"/>
                <w:sz w:val="18"/>
                <w:szCs w:val="18"/>
              </w:rPr>
              <w:t>人民政府、</w:t>
            </w: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政策文件</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文件名称；</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文号；</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发布部门；</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发布日期；</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实施日期；</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正文。</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重大决策</w:t>
            </w: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决策前预公开</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决策公开制度；</w:t>
            </w:r>
          </w:p>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意见征集。</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4</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决策会议公开</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会议名称；</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会议时间地点；</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会议结果。</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5</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决策结果公开</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保障性住房领域方案、公示公告、通知等。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6</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规划计划</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中长期规划</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保障性住房专项规划。</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7</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年度计划</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年度建设计划任务量：开工套数、基本建成套数；</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8</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建设管理</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立项信息</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项目名称；建设地点；投资金额；计划安排。</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《政府信息公开条例》、《经济适用住房管理办法》、《公共租赁住房管理办法》、《住房城乡建设部办公厅关于做好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9</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开工项目清单</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10</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基本建成项目清单</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11</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竣工项目清单</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12</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配套设施建设情况</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13</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配给管理</w:t>
            </w: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保障性住房申请受理</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申请受理公告；</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申请条件、程序、期限和所需材料；</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租赁补贴发放计划。</w:t>
            </w:r>
          </w:p>
        </w:tc>
        <w:tc>
          <w:tcPr>
            <w:tcW w:w="3600"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r>
              <w:rPr>
                <w:rFonts w:ascii="仿宋_GB2312" w:hAnsi="宋体" w:eastAsia="仿宋_GB2312" w:cs="仿宋_GB2312"/>
                <w:color w:val="000000"/>
                <w:sz w:val="18"/>
                <w:szCs w:val="18"/>
              </w:rPr>
              <w:t xml:space="preserve">                           </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■政务服务中心</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14</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公租房承租资格审核</w:t>
            </w:r>
          </w:p>
        </w:tc>
        <w:tc>
          <w:tcPr>
            <w:tcW w:w="18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申请受理；</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审核结果：申请对象姓名、身份证号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隐藏部分号码</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、申请房源类型；</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15</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公租房租赁补贴或租金减免审批</w:t>
            </w:r>
          </w:p>
        </w:tc>
        <w:tc>
          <w:tcPr>
            <w:tcW w:w="1800" w:type="dxa"/>
            <w:vMerge w:val="continue"/>
            <w:vAlign w:val="center"/>
          </w:tcPr>
          <w:p>
            <w:pPr>
              <w:rPr>
                <w:rFonts w:ascii="仿宋_GB2312" w:hAnsi="宋体" w:eastAsia="仿宋_GB2312" w:cs="Times New Roman"/>
                <w:color w:val="000000"/>
                <w:sz w:val="18"/>
                <w:szCs w:val="18"/>
              </w:rPr>
            </w:pP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16</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经济适用住房购买资格审核</w:t>
            </w:r>
          </w:p>
        </w:tc>
        <w:tc>
          <w:tcPr>
            <w:tcW w:w="1800" w:type="dxa"/>
            <w:vMerge w:val="continue"/>
            <w:vAlign w:val="center"/>
          </w:tcPr>
          <w:p>
            <w:pPr>
              <w:rPr>
                <w:rFonts w:ascii="仿宋_GB2312" w:hAnsi="宋体" w:eastAsia="仿宋_GB2312" w:cs="Times New Roman"/>
                <w:color w:val="000000"/>
                <w:sz w:val="18"/>
                <w:szCs w:val="18"/>
              </w:rPr>
            </w:pP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17</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配给管理</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房源信息</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《政府信息公开条例》、《经济适用住房管理办法》、《公共租赁住房管理办法》、《住房城乡建设部办公厅关于做好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■政务服务中心</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18</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选房或摇号公告</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公告名称；发布部门；发布日期；正文，包括时间、地点、流程、注意事项等。</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《政府信息公开条例》、《经济适用住房管理办法》、《公共租赁住房管理办法》、《住房城乡建设部办公厅关于做好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19</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分配结果</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保障对象姓名；保障性住房类型；房号、面积、套型；所在建设项目名称等。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20</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办理配租配售公告</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公告名称；发布部门；发布日期；正文，包括时间、地点、流程、注意事项等。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21</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配后管理</w:t>
            </w: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公租房资格定期审核</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《公共租赁住房管理办法》、《国务院办公厅关于推进公共资源配置领域政府信息公开的意见》</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22</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自愿退出</w:t>
            </w:r>
          </w:p>
        </w:tc>
        <w:tc>
          <w:tcPr>
            <w:tcW w:w="18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23</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到期退出</w:t>
            </w:r>
          </w:p>
        </w:tc>
        <w:tc>
          <w:tcPr>
            <w:tcW w:w="1800" w:type="dxa"/>
            <w:vMerge w:val="continue"/>
            <w:vAlign w:val="center"/>
          </w:tcPr>
          <w:p>
            <w:pPr>
              <w:rPr>
                <w:rFonts w:ascii="仿宋_GB2312" w:hAnsi="宋体" w:eastAsia="仿宋_GB2312" w:cs="Times New Roman"/>
                <w:color w:val="000000"/>
                <w:sz w:val="18"/>
                <w:szCs w:val="18"/>
              </w:rPr>
            </w:pP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24</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不符合条件退出</w:t>
            </w:r>
          </w:p>
        </w:tc>
        <w:tc>
          <w:tcPr>
            <w:tcW w:w="1800" w:type="dxa"/>
            <w:vMerge w:val="continue"/>
            <w:vAlign w:val="center"/>
          </w:tcPr>
          <w:p>
            <w:pPr>
              <w:rPr>
                <w:rFonts w:ascii="仿宋_GB2312" w:hAnsi="宋体" w:eastAsia="仿宋_GB2312" w:cs="Times New Roman"/>
                <w:color w:val="000000"/>
                <w:sz w:val="18"/>
                <w:szCs w:val="18"/>
              </w:rPr>
            </w:pP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25</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违规处罚退出</w:t>
            </w:r>
          </w:p>
        </w:tc>
        <w:tc>
          <w:tcPr>
            <w:tcW w:w="1800" w:type="dxa"/>
            <w:vMerge w:val="continue"/>
            <w:vAlign w:val="center"/>
          </w:tcPr>
          <w:p>
            <w:pPr>
              <w:rPr>
                <w:rFonts w:ascii="仿宋_GB2312" w:hAnsi="宋体" w:eastAsia="仿宋_GB2312" w:cs="Times New Roman"/>
                <w:color w:val="000000"/>
                <w:sz w:val="18"/>
                <w:szCs w:val="18"/>
              </w:rPr>
            </w:pP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26</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配后管理</w:t>
            </w: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租赁补贴发放</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保障对象姓名、身份证号（隐藏部分号码）；发放金额；发放年度、月份、日期；发放方式。</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27</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租金收取</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28</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租金减免</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《经济适用住房管理办法》、《公共租赁住房管理办法》、《住房城乡建设部办公厅关于做好</w:t>
            </w:r>
            <w:r>
              <w:rPr>
                <w:rFonts w:ascii="仿宋_GB2312" w:hAnsi="宋体" w:eastAsia="仿宋_GB2312" w:cs="仿宋_GB2312"/>
                <w:color w:val="000000"/>
                <w:sz w:val="18"/>
                <w:szCs w:val="18"/>
              </w:rPr>
              <w:t>2012</w:t>
            </w:r>
            <w:r>
              <w:rPr>
                <w:rFonts w:hint="eastAsia" w:ascii="仿宋_GB2312" w:hAnsi="宋体" w:eastAsia="仿宋_GB2312" w:cs="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29</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腾退管理</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腾退对象；腾退日期；腾退原因；实退租金。</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30</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房屋维修</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维修内容；维修标准；维修资金来源渠道；维修单位名称；联系人，联系方式。</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31</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保障性住房调整</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32</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配后管理</w:t>
            </w: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运营承接主体管理</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33</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办事指南</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申请保障</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《关于全面推进政务公开工作的意见》、《国务院关于加快推进“互联网</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政务服务”工作的指导意见》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■政务服务中心</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34</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合同备案</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合同范本；备案机构；受理地点；咨询电话等。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35</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申请租金减免</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36</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办事指南</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缴纳租金</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租金标准；缴纳方式、时限；受理（办理）机构；咨询电话、监督电话等。</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《关于全面推进政务公开工作的意见》、《国务院关于加快推进“互联网</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政务服务”工作的指导意见》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p>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■政务服务中心</w:t>
            </w:r>
            <w:r>
              <w:rPr>
                <w:rFonts w:ascii="仿宋_GB2312" w:hAnsi="宋体" w:eastAsia="仿宋_GB2312" w:cs="Times New Roman"/>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37</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保障性住房调换</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38</w:t>
            </w:r>
          </w:p>
        </w:tc>
        <w:tc>
          <w:tcPr>
            <w:tcW w:w="720" w:type="dxa"/>
            <w:vMerge w:val="continue"/>
            <w:vAlign w:val="center"/>
          </w:tcPr>
          <w:p>
            <w:pPr>
              <w:jc w:val="center"/>
              <w:rPr>
                <w:rFonts w:ascii="仿宋_GB2312" w:hAnsi="宋体" w:eastAsia="仿宋_GB2312" w:cs="仿宋_GB2312"/>
                <w:color w:val="000000"/>
                <w:sz w:val="18"/>
                <w:szCs w:val="18"/>
              </w:rPr>
            </w:pP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自愿退出</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39</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政策解读</w:t>
            </w: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本级政策解读</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解读主体；解读内容；解读方式；解读时间等。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40</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回应关切</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主动回应</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公众提出的意见建议及回复情况；公开突发事件应对情况等。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41</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回应关切</w:t>
            </w:r>
          </w:p>
        </w:tc>
        <w:tc>
          <w:tcPr>
            <w:tcW w:w="1274"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互动回应</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信息形成（变更）</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08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lang w:eastAsia="zh-CN"/>
              </w:rPr>
              <w:t>青田县住房和城乡建设局</w:t>
            </w:r>
          </w:p>
        </w:tc>
        <w:tc>
          <w:tcPr>
            <w:tcW w:w="1246" w:type="dxa"/>
            <w:vMerge w:val="restart"/>
            <w:vAlign w:val="center"/>
          </w:tcPr>
          <w:p>
            <w:pP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xml:space="preserve">       </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xml:space="preserve">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09"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551"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　</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42</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评价结果</w:t>
            </w: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上级评价、表彰情况</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s="仿宋_GB2312"/>
                <w:color w:val="000000"/>
                <w:sz w:val="18"/>
                <w:szCs w:val="18"/>
              </w:rPr>
            </w:pPr>
            <w:r>
              <w:rPr>
                <w:rFonts w:ascii="仿宋_GB2312" w:hAnsi="宋体" w:eastAsia="仿宋_GB2312" w:cs="仿宋_GB2312"/>
                <w:color w:val="000000"/>
                <w:sz w:val="18"/>
                <w:szCs w:val="18"/>
              </w:rPr>
              <w:t>43</w:t>
            </w:r>
          </w:p>
        </w:tc>
        <w:tc>
          <w:tcPr>
            <w:tcW w:w="720" w:type="dxa"/>
            <w:vMerge w:val="continue"/>
            <w:vAlign w:val="center"/>
          </w:tcPr>
          <w:p>
            <w:pPr>
              <w:rPr>
                <w:rFonts w:ascii="仿宋_GB2312" w:hAnsi="宋体" w:eastAsia="仿宋_GB2312" w:cs="Times New Roman"/>
                <w:color w:val="000000"/>
                <w:sz w:val="18"/>
                <w:szCs w:val="18"/>
              </w:rPr>
            </w:pPr>
          </w:p>
        </w:tc>
        <w:tc>
          <w:tcPr>
            <w:tcW w:w="1274"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社会评价情况</w:t>
            </w:r>
          </w:p>
        </w:tc>
        <w:tc>
          <w:tcPr>
            <w:tcW w:w="1800" w:type="dxa"/>
            <w:vAlign w:val="center"/>
          </w:tcPr>
          <w:p>
            <w:pPr>
              <w:rPr>
                <w:rFonts w:ascii="仿宋_GB2312" w:hAnsi="宋体" w:eastAsia="仿宋_GB2312" w:cs="Times New Roman"/>
                <w:color w:val="000000"/>
                <w:sz w:val="18"/>
                <w:szCs w:val="18"/>
              </w:rPr>
            </w:pPr>
            <w:r>
              <w:rPr>
                <w:rFonts w:hint="eastAsia" w:ascii="仿宋_GB2312" w:hAnsi="宋体" w:eastAsia="仿宋_GB2312" w:cs="仿宋_GB2312"/>
                <w:color w:val="000000"/>
                <w:sz w:val="18"/>
                <w:szCs w:val="18"/>
              </w:rPr>
              <w:t>公众对保障性住房工作满意度评价。</w:t>
            </w:r>
          </w:p>
        </w:tc>
        <w:tc>
          <w:tcPr>
            <w:tcW w:w="360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080" w:type="dxa"/>
            <w:vMerge w:val="continue"/>
            <w:vAlign w:val="center"/>
          </w:tcPr>
          <w:p>
            <w:pPr>
              <w:rPr>
                <w:rFonts w:ascii="仿宋_GB2312" w:hAnsi="宋体" w:eastAsia="仿宋_GB2312" w:cs="Times New Roman"/>
                <w:color w:val="000000"/>
                <w:sz w:val="18"/>
                <w:szCs w:val="18"/>
              </w:rPr>
            </w:pPr>
          </w:p>
        </w:tc>
        <w:tc>
          <w:tcPr>
            <w:tcW w:w="1246"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09" w:type="dxa"/>
            <w:vMerge w:val="continue"/>
            <w:vAlign w:val="center"/>
          </w:tcPr>
          <w:p>
            <w:pPr>
              <w:rPr>
                <w:rFonts w:ascii="仿宋_GB2312" w:hAnsi="宋体" w:eastAsia="仿宋_GB2312" w:cs="Times New Roman"/>
                <w:color w:val="000000"/>
                <w:sz w:val="18"/>
                <w:szCs w:val="18"/>
              </w:rPr>
            </w:pPr>
          </w:p>
        </w:tc>
        <w:tc>
          <w:tcPr>
            <w:tcW w:w="551"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c>
          <w:tcPr>
            <w:tcW w:w="720" w:type="dxa"/>
            <w:vMerge w:val="continue"/>
            <w:vAlign w:val="center"/>
          </w:tcPr>
          <w:p>
            <w:pPr>
              <w:rPr>
                <w:rFonts w:ascii="仿宋_GB2312" w:hAnsi="宋体" w:eastAsia="仿宋_GB2312" w:cs="Times New Roman"/>
                <w:color w:val="000000"/>
                <w:sz w:val="18"/>
                <w:szCs w:val="18"/>
              </w:rPr>
            </w:pPr>
          </w:p>
        </w:tc>
      </w:tr>
    </w:tbl>
    <w:p>
      <w:pPr>
        <w:pStyle w:val="2"/>
        <w:jc w:val="center"/>
        <w:rPr>
          <w:rFonts w:ascii="方正小标宋_GBK" w:hAnsi="方正小标宋_GBK" w:eastAsia="方正小标宋_GBK" w:cs="Times New Roman"/>
          <w:b w:val="0"/>
          <w:bCs w:val="0"/>
          <w:sz w:val="30"/>
          <w:szCs w:val="30"/>
        </w:rPr>
      </w:pPr>
    </w:p>
    <w:p>
      <w:pPr>
        <w:rPr>
          <w:rFonts w:ascii="方正小标宋_GBK" w:hAnsi="方正小标宋_GBK" w:eastAsia="方正小标宋_GBK" w:cs="Times New Roman"/>
          <w:b w:val="0"/>
          <w:bCs w:val="0"/>
          <w:sz w:val="30"/>
          <w:szCs w:val="30"/>
        </w:rPr>
      </w:pPr>
    </w:p>
    <w:p>
      <w:pPr>
        <w:rPr>
          <w:rFonts w:ascii="方正小标宋_GBK" w:hAnsi="方正小标宋_GBK" w:eastAsia="方正小标宋_GBK" w:cs="Times New Roman"/>
          <w:b w:val="0"/>
          <w:bCs w:val="0"/>
          <w:sz w:val="30"/>
          <w:szCs w:val="30"/>
        </w:rPr>
      </w:pPr>
    </w:p>
    <w:p>
      <w:pPr>
        <w:pStyle w:val="2"/>
        <w:jc w:val="center"/>
        <w:rPr>
          <w:rFonts w:ascii="方正小标宋_GBK" w:hAnsi="方正小标宋_GBK" w:eastAsia="方正小标宋_GBK" w:cs="Times New Roman"/>
          <w:b w:val="0"/>
          <w:bCs w:val="0"/>
          <w:sz w:val="30"/>
          <w:szCs w:val="30"/>
        </w:rPr>
      </w:pPr>
    </w:p>
    <w:p>
      <w:pPr>
        <w:pStyle w:val="2"/>
        <w:jc w:val="center"/>
        <w:rPr>
          <w:rFonts w:hint="eastAsia" w:ascii="方正小标宋_GBK" w:hAnsi="方正小标宋_GBK" w:eastAsia="方正小标宋_GBK" w:cs="方正小标宋_GBK"/>
          <w:b w:val="0"/>
          <w:bCs w:val="0"/>
          <w:sz w:val="30"/>
          <w:szCs w:val="30"/>
        </w:rPr>
      </w:pPr>
    </w:p>
    <w:bookmarkEnd w:id="1"/>
    <w:p>
      <w:pPr>
        <w:rPr>
          <w:rFonts w:cs="Times New Roman"/>
        </w:rPr>
      </w:pPr>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10380C"/>
    <w:rsid w:val="00481792"/>
    <w:rsid w:val="00527A16"/>
    <w:rsid w:val="005766E1"/>
    <w:rsid w:val="00BA6E8A"/>
    <w:rsid w:val="00F241EA"/>
    <w:rsid w:val="06264DF1"/>
    <w:rsid w:val="09C8382A"/>
    <w:rsid w:val="11A81D8C"/>
    <w:rsid w:val="19EB18CB"/>
    <w:rsid w:val="1CF25E48"/>
    <w:rsid w:val="21EC49C1"/>
    <w:rsid w:val="26160A95"/>
    <w:rsid w:val="266B74E4"/>
    <w:rsid w:val="28DB4371"/>
    <w:rsid w:val="40F137C6"/>
    <w:rsid w:val="5610380C"/>
    <w:rsid w:val="5F8F405C"/>
    <w:rsid w:val="60F5534A"/>
    <w:rsid w:val="6568342D"/>
    <w:rsid w:val="65C64732"/>
    <w:rsid w:val="716B24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
    <w:qFormat/>
    <w:uiPriority w:val="99"/>
    <w:pPr>
      <w:keepNext/>
      <w:keepLines/>
      <w:spacing w:before="340" w:after="330" w:line="578" w:lineRule="auto"/>
      <w:outlineLvl w:val="0"/>
    </w:pPr>
    <w:rPr>
      <w:b/>
      <w:bCs/>
      <w:kern w:val="44"/>
      <w:sz w:val="44"/>
      <w:szCs w:val="44"/>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4"/>
    <w:link w:val="2"/>
    <w:qFormat/>
    <w:uiPriority w:val="9"/>
    <w:rPr>
      <w:rFonts w:ascii="Calibri" w:hAnsi="Calibri" w:cs="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25</Pages>
  <Words>1822</Words>
  <Characters>10391</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2020-07-09T09:47:00Z</dcterms:created>
  <dc:creator>Administrator</dc:creator>
  <cp:lastModifiedBy>jione</cp:lastModifiedBy>
  <cp:lastPrinted>2020-08-13T01:57:00Z</cp:lastPrinted>
  <dcterms:modified xsi:type="dcterms:W3CDTF">2020-09-28T07:16:25Z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