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sz w:val="52"/>
          <w:szCs w:val="52"/>
          <w:lang w:val="zh-CN"/>
        </w:rPr>
      </w:pPr>
    </w:p>
    <w:p>
      <w:pPr>
        <w:spacing w:line="1280" w:lineRule="exact"/>
        <w:ind w:right="-388" w:rightChars="-185"/>
        <w:rPr>
          <w:rFonts w:ascii="黑体" w:hAnsi="黑体" w:eastAsia="黑体"/>
          <w:sz w:val="64"/>
          <w:szCs w:val="64"/>
        </w:rPr>
      </w:pPr>
    </w:p>
    <w:p>
      <w:pPr>
        <w:spacing w:line="360" w:lineRule="auto"/>
        <w:jc w:val="center"/>
        <w:rPr>
          <w:rFonts w:ascii="黑体" w:hAnsi="黑体" w:eastAsia="黑体"/>
          <w:b/>
          <w:sz w:val="52"/>
          <w:szCs w:val="52"/>
        </w:rPr>
      </w:pPr>
      <w:r>
        <w:rPr>
          <w:rFonts w:hint="eastAsia" w:ascii="黑体" w:hAnsi="黑体" w:eastAsia="黑体"/>
          <w:b/>
          <w:sz w:val="52"/>
          <w:szCs w:val="52"/>
        </w:rPr>
        <w:t>青田县数字经济发展五年规划</w:t>
      </w:r>
    </w:p>
    <w:p>
      <w:pPr>
        <w:autoSpaceDE w:val="0"/>
        <w:autoSpaceDN w:val="0"/>
        <w:adjustRightInd w:val="0"/>
        <w:spacing w:line="360" w:lineRule="auto"/>
        <w:jc w:val="center"/>
        <w:rPr>
          <w:rFonts w:hint="eastAsia" w:eastAsia="黑体"/>
          <w:b/>
          <w:sz w:val="52"/>
          <w:szCs w:val="52"/>
          <w:lang w:eastAsia="zh-CN"/>
        </w:rPr>
      </w:pPr>
      <w:r>
        <w:rPr>
          <w:rFonts w:hint="eastAsia" w:eastAsia="黑体"/>
          <w:b/>
          <w:sz w:val="52"/>
          <w:szCs w:val="52"/>
          <w:lang w:eastAsia="zh-CN"/>
        </w:rPr>
        <w:t>（</w:t>
      </w:r>
      <w:r>
        <w:rPr>
          <w:rFonts w:hint="eastAsia" w:eastAsia="黑体"/>
          <w:b/>
          <w:sz w:val="52"/>
          <w:szCs w:val="52"/>
          <w:lang w:val="en-US" w:eastAsia="zh-CN"/>
        </w:rPr>
        <w:t>2018年—2022年</w:t>
      </w:r>
      <w:r>
        <w:rPr>
          <w:rFonts w:hint="eastAsia" w:eastAsia="黑体"/>
          <w:b/>
          <w:sz w:val="52"/>
          <w:szCs w:val="52"/>
          <w:lang w:eastAsia="zh-CN"/>
        </w:rPr>
        <w:t>）</w:t>
      </w:r>
    </w:p>
    <w:p>
      <w:pPr>
        <w:autoSpaceDE w:val="0"/>
        <w:autoSpaceDN w:val="0"/>
        <w:adjustRightInd w:val="0"/>
        <w:spacing w:line="360" w:lineRule="auto"/>
        <w:rPr>
          <w:rFonts w:eastAsia="黑体"/>
          <w:b/>
          <w:sz w:val="52"/>
          <w:szCs w:val="52"/>
          <w:lang w:val="zh-CN"/>
        </w:rPr>
      </w:pPr>
    </w:p>
    <w:p>
      <w:pPr>
        <w:autoSpaceDE w:val="0"/>
        <w:autoSpaceDN w:val="0"/>
        <w:adjustRightInd w:val="0"/>
        <w:spacing w:line="360" w:lineRule="auto"/>
        <w:rPr>
          <w:rFonts w:eastAsia="黑体"/>
          <w:b/>
          <w:sz w:val="52"/>
          <w:szCs w:val="52"/>
          <w:lang w:val="zh-CN"/>
        </w:rPr>
      </w:pPr>
    </w:p>
    <w:p>
      <w:pPr>
        <w:autoSpaceDE w:val="0"/>
        <w:autoSpaceDN w:val="0"/>
        <w:adjustRightInd w:val="0"/>
        <w:spacing w:line="360" w:lineRule="auto"/>
        <w:rPr>
          <w:rFonts w:eastAsia="黑体"/>
          <w:b/>
          <w:sz w:val="52"/>
          <w:szCs w:val="52"/>
          <w:lang w:val="zh-CN"/>
        </w:rPr>
      </w:pPr>
      <w:r>
        <w:rPr>
          <w:rFonts w:hint="eastAsia" w:ascii="方正小标宋简体" w:eastAsia="方正小标宋简体"/>
          <w:sz w:val="56"/>
          <w:szCs w:val="56"/>
        </w:rPr>
        <w:t xml:space="preserve"> </w:t>
      </w:r>
    </w:p>
    <w:p>
      <w:pPr>
        <w:autoSpaceDE w:val="0"/>
        <w:autoSpaceDN w:val="0"/>
        <w:adjustRightInd w:val="0"/>
        <w:spacing w:line="360" w:lineRule="auto"/>
        <w:rPr>
          <w:rFonts w:eastAsia="黑体"/>
          <w:b/>
          <w:sz w:val="52"/>
          <w:szCs w:val="52"/>
          <w:lang w:val="zh-CN"/>
        </w:rPr>
      </w:pPr>
    </w:p>
    <w:p>
      <w:pPr>
        <w:autoSpaceDE w:val="0"/>
        <w:autoSpaceDN w:val="0"/>
        <w:adjustRightInd w:val="0"/>
        <w:spacing w:line="360" w:lineRule="auto"/>
        <w:rPr>
          <w:rFonts w:eastAsia="黑体"/>
          <w:b/>
          <w:sz w:val="52"/>
          <w:szCs w:val="52"/>
          <w:lang w:val="zh-CN"/>
        </w:rPr>
      </w:pPr>
    </w:p>
    <w:p>
      <w:pPr>
        <w:autoSpaceDE w:val="0"/>
        <w:autoSpaceDN w:val="0"/>
        <w:adjustRightInd w:val="0"/>
        <w:spacing w:line="360" w:lineRule="auto"/>
        <w:rPr>
          <w:rFonts w:eastAsia="黑体"/>
          <w:b/>
          <w:sz w:val="52"/>
          <w:szCs w:val="52"/>
          <w:lang w:val="zh-CN"/>
        </w:rPr>
      </w:pPr>
    </w:p>
    <w:p>
      <w:pPr>
        <w:autoSpaceDE w:val="0"/>
        <w:autoSpaceDN w:val="0"/>
        <w:adjustRightInd w:val="0"/>
        <w:spacing w:line="360" w:lineRule="auto"/>
        <w:rPr>
          <w:rFonts w:eastAsia="黑体"/>
          <w:b/>
          <w:sz w:val="52"/>
          <w:szCs w:val="52"/>
          <w:lang w:val="zh-CN"/>
        </w:rPr>
      </w:pPr>
    </w:p>
    <w:p>
      <w:pPr>
        <w:autoSpaceDE w:val="0"/>
        <w:autoSpaceDN w:val="0"/>
        <w:adjustRightInd w:val="0"/>
        <w:spacing w:line="360" w:lineRule="auto"/>
        <w:rPr>
          <w:rFonts w:eastAsia="黑体"/>
          <w:b/>
          <w:sz w:val="52"/>
          <w:szCs w:val="52"/>
          <w:lang w:val="zh-CN"/>
        </w:rPr>
      </w:pPr>
    </w:p>
    <w:p>
      <w:pPr>
        <w:autoSpaceDE w:val="0"/>
        <w:autoSpaceDN w:val="0"/>
        <w:adjustRightInd w:val="0"/>
        <w:spacing w:line="360" w:lineRule="auto"/>
        <w:rPr>
          <w:rFonts w:eastAsia="黑体"/>
          <w:b/>
          <w:sz w:val="52"/>
          <w:szCs w:val="52"/>
          <w:lang w:val="zh-CN"/>
        </w:rPr>
      </w:pPr>
    </w:p>
    <w:p>
      <w:pPr>
        <w:autoSpaceDE w:val="0"/>
        <w:autoSpaceDN w:val="0"/>
        <w:adjustRightInd w:val="0"/>
        <w:spacing w:line="360" w:lineRule="auto"/>
        <w:rPr>
          <w:rFonts w:eastAsia="黑体"/>
          <w:b/>
          <w:sz w:val="52"/>
          <w:szCs w:val="52"/>
          <w:lang w:val="zh-CN"/>
        </w:rPr>
      </w:pPr>
    </w:p>
    <w:p>
      <w:pPr>
        <w:autoSpaceDE w:val="0"/>
        <w:autoSpaceDN w:val="0"/>
        <w:adjustRightInd w:val="0"/>
        <w:spacing w:line="360" w:lineRule="auto"/>
        <w:rPr>
          <w:rFonts w:eastAsia="黑体"/>
          <w:b/>
          <w:sz w:val="52"/>
          <w:szCs w:val="52"/>
          <w:lang w:val="zh-CN"/>
        </w:rPr>
      </w:pPr>
    </w:p>
    <w:p>
      <w:pPr>
        <w:widowControl/>
        <w:adjustRightInd w:val="0"/>
        <w:snapToGrid w:val="0"/>
        <w:spacing w:line="600" w:lineRule="exact"/>
        <w:rPr>
          <w:rFonts w:ascii="楷体" w:hAnsi="楷体" w:eastAsia="楷体" w:cs="楷体"/>
          <w:sz w:val="36"/>
          <w:szCs w:val="36"/>
        </w:rPr>
      </w:pPr>
    </w:p>
    <w:p>
      <w:pPr>
        <w:spacing w:line="600" w:lineRule="exact"/>
        <w:jc w:val="center"/>
        <w:rPr>
          <w:rFonts w:hint="eastAsia" w:ascii="楷体" w:hAnsi="楷体" w:eastAsia="楷体" w:cs="楷体"/>
          <w:kern w:val="0"/>
          <w:sz w:val="36"/>
          <w:szCs w:val="36"/>
          <w:lang w:eastAsia="zh-CN"/>
        </w:rPr>
      </w:pPr>
      <w:r>
        <w:rPr>
          <w:rFonts w:hint="eastAsia" w:ascii="楷体" w:hAnsi="楷体" w:eastAsia="楷体" w:cs="楷体"/>
          <w:color w:val="000000"/>
          <w:kern w:val="0"/>
          <w:sz w:val="36"/>
          <w:szCs w:val="36"/>
        </w:rPr>
        <w:t>青田县</w:t>
      </w:r>
      <w:r>
        <w:rPr>
          <w:rFonts w:hint="eastAsia" w:ascii="楷体" w:hAnsi="楷体" w:eastAsia="楷体" w:cs="楷体"/>
          <w:color w:val="000000"/>
          <w:kern w:val="0"/>
          <w:sz w:val="36"/>
          <w:szCs w:val="36"/>
          <w:lang w:eastAsia="zh-CN"/>
        </w:rPr>
        <w:t>经济商务局</w:t>
      </w:r>
    </w:p>
    <w:p>
      <w:pPr>
        <w:autoSpaceDE w:val="0"/>
        <w:autoSpaceDN w:val="0"/>
        <w:adjustRightInd w:val="0"/>
        <w:spacing w:line="360" w:lineRule="auto"/>
        <w:jc w:val="center"/>
        <w:rPr>
          <w:rFonts w:eastAsia="黑体"/>
          <w:b/>
          <w:sz w:val="52"/>
          <w:szCs w:val="52"/>
          <w:lang w:val="zh-CN"/>
        </w:rPr>
      </w:pPr>
      <w:r>
        <w:rPr>
          <w:rFonts w:hint="eastAsia" w:ascii="楷体" w:hAnsi="楷体" w:eastAsia="楷体" w:cs="楷体"/>
          <w:kern w:val="0"/>
          <w:sz w:val="36"/>
          <w:szCs w:val="36"/>
        </w:rPr>
        <w:t>二〇一九年七月</w:t>
      </w:r>
    </w:p>
    <w:p>
      <w:pPr>
        <w:autoSpaceDE w:val="0"/>
        <w:autoSpaceDN w:val="0"/>
        <w:adjustRightInd w:val="0"/>
        <w:spacing w:line="360" w:lineRule="auto"/>
        <w:rPr>
          <w:rFonts w:eastAsia="黑体"/>
          <w:b/>
          <w:sz w:val="52"/>
          <w:szCs w:val="52"/>
          <w:lang w:val="zh-CN"/>
        </w:rPr>
      </w:pPr>
    </w:p>
    <w:p>
      <w:pPr>
        <w:autoSpaceDE w:val="0"/>
        <w:autoSpaceDN w:val="0"/>
        <w:adjustRightInd w:val="0"/>
        <w:spacing w:line="360" w:lineRule="auto"/>
        <w:rPr>
          <w:rFonts w:eastAsia="黑体"/>
          <w:b/>
          <w:sz w:val="52"/>
          <w:szCs w:val="52"/>
          <w:lang w:val="zh-CN"/>
        </w:rPr>
        <w:sectPr>
          <w:pgSz w:w="11906" w:h="16838"/>
          <w:pgMar w:top="1440" w:right="1800" w:bottom="1440" w:left="1800" w:header="851" w:footer="992" w:gutter="0"/>
          <w:cols w:space="720" w:num="1"/>
          <w:docGrid w:type="lines" w:linePitch="312" w:charSpace="0"/>
        </w:sectPr>
      </w:pPr>
    </w:p>
    <w:p>
      <w:pPr>
        <w:keepNext/>
        <w:keepLines/>
        <w:spacing w:before="120" w:after="120" w:line="360" w:lineRule="auto"/>
        <w:jc w:val="center"/>
        <w:outlineLvl w:val="0"/>
        <w:rPr>
          <w:sz w:val="28"/>
          <w:szCs w:val="28"/>
        </w:rPr>
      </w:pPr>
      <w:bookmarkStart w:id="0" w:name="_Toc533436070"/>
      <w:bookmarkStart w:id="1" w:name="_Toc14440748"/>
      <w:bookmarkStart w:id="2" w:name="_Toc9084743"/>
      <w:bookmarkStart w:id="3" w:name="_Toc529891626"/>
      <w:r>
        <w:rPr>
          <w:rFonts w:ascii="黑体" w:hAnsi="黑体" w:eastAsia="黑体" w:cs="黑体"/>
          <w:b/>
          <w:bCs/>
          <w:kern w:val="44"/>
          <w:sz w:val="36"/>
          <w:szCs w:val="36"/>
          <w:lang w:val="zh-CN"/>
        </w:rPr>
        <w:t>目录</w:t>
      </w:r>
      <w:bookmarkEnd w:id="0"/>
      <w:bookmarkEnd w:id="1"/>
      <w:bookmarkEnd w:id="2"/>
      <w:bookmarkEnd w:id="3"/>
      <w:r>
        <w:rPr>
          <w:sz w:val="28"/>
          <w:szCs w:val="28"/>
        </w:rPr>
        <w:fldChar w:fldCharType="begin"/>
      </w:r>
      <w:r>
        <w:rPr>
          <w:sz w:val="28"/>
          <w:szCs w:val="28"/>
        </w:rPr>
        <w:instrText xml:space="preserve"> TOC \o "1-3" \h \z \u </w:instrText>
      </w:r>
      <w:r>
        <w:rPr>
          <w:sz w:val="28"/>
          <w:szCs w:val="28"/>
        </w:rPr>
        <w:fldChar w:fldCharType="separate"/>
      </w:r>
    </w:p>
    <w:p>
      <w:pPr>
        <w:pStyle w:val="13"/>
        <w:tabs>
          <w:tab w:val="right" w:leader="dot" w:pos="8296"/>
        </w:tabs>
        <w:rPr>
          <w:rFonts w:asciiTheme="minorHAnsi" w:hAnsiTheme="minorHAnsi" w:eastAsiaTheme="minorEastAsia" w:cstheme="minorBidi"/>
          <w:sz w:val="30"/>
          <w:szCs w:val="30"/>
        </w:rPr>
      </w:pPr>
      <w:r>
        <w:fldChar w:fldCharType="begin"/>
      </w:r>
      <w:r>
        <w:instrText xml:space="preserve"> HYPERLINK \l "_Toc14440749" </w:instrText>
      </w:r>
      <w:r>
        <w:fldChar w:fldCharType="separate"/>
      </w:r>
      <w:r>
        <w:rPr>
          <w:rStyle w:val="21"/>
          <w:rFonts w:ascii="黑体" w:hAnsi="黑体" w:eastAsia="黑体" w:cs="黑体"/>
          <w:bCs/>
          <w:kern w:val="44"/>
          <w:sz w:val="30"/>
          <w:szCs w:val="30"/>
          <w:lang w:val="zh-CN"/>
        </w:rPr>
        <w:t>一、面临形势和现实基础</w:t>
      </w:r>
      <w:r>
        <w:rPr>
          <w:sz w:val="30"/>
          <w:szCs w:val="30"/>
        </w:rPr>
        <w:tab/>
      </w:r>
      <w:r>
        <w:rPr>
          <w:sz w:val="30"/>
          <w:szCs w:val="30"/>
        </w:rPr>
        <w:fldChar w:fldCharType="begin"/>
      </w:r>
      <w:r>
        <w:rPr>
          <w:sz w:val="30"/>
          <w:szCs w:val="30"/>
        </w:rPr>
        <w:instrText xml:space="preserve"> PAGEREF _Toc14440749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"_Toc14440750" </w:instrText>
      </w:r>
      <w:r>
        <w:fldChar w:fldCharType="separate"/>
      </w:r>
      <w:r>
        <w:rPr>
          <w:rStyle w:val="21"/>
          <w:rFonts w:ascii="楷体" w:hAnsi="楷体" w:eastAsia="楷体" w:cs="楷体"/>
          <w:sz w:val="30"/>
          <w:szCs w:val="30"/>
        </w:rPr>
        <w:t>（一）面临形势。</w:t>
      </w:r>
      <w:r>
        <w:rPr>
          <w:sz w:val="30"/>
          <w:szCs w:val="30"/>
        </w:rPr>
        <w:tab/>
      </w:r>
      <w:r>
        <w:rPr>
          <w:sz w:val="30"/>
          <w:szCs w:val="30"/>
        </w:rPr>
        <w:fldChar w:fldCharType="begin"/>
      </w:r>
      <w:r>
        <w:rPr>
          <w:sz w:val="30"/>
          <w:szCs w:val="30"/>
        </w:rPr>
        <w:instrText xml:space="preserve"> PAGEREF _Toc14440750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"_Toc14440751" </w:instrText>
      </w:r>
      <w:r>
        <w:fldChar w:fldCharType="separate"/>
      </w:r>
      <w:r>
        <w:rPr>
          <w:rStyle w:val="21"/>
          <w:rFonts w:ascii="楷体" w:hAnsi="楷体" w:eastAsia="楷体" w:cs="楷体"/>
          <w:sz w:val="30"/>
          <w:szCs w:val="30"/>
        </w:rPr>
        <w:t>（二）基础现状。</w:t>
      </w:r>
      <w:r>
        <w:rPr>
          <w:sz w:val="30"/>
          <w:szCs w:val="30"/>
        </w:rPr>
        <w:tab/>
      </w:r>
      <w:r>
        <w:rPr>
          <w:sz w:val="30"/>
          <w:szCs w:val="30"/>
        </w:rPr>
        <w:fldChar w:fldCharType="begin"/>
      </w:r>
      <w:r>
        <w:rPr>
          <w:sz w:val="30"/>
          <w:szCs w:val="30"/>
        </w:rPr>
        <w:instrText xml:space="preserve"> PAGEREF _Toc14440751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13"/>
        <w:tabs>
          <w:tab w:val="right" w:leader="dot" w:pos="8296"/>
        </w:tabs>
        <w:rPr>
          <w:rFonts w:asciiTheme="minorHAnsi" w:hAnsiTheme="minorHAnsi" w:eastAsiaTheme="minorEastAsia" w:cstheme="minorBidi"/>
          <w:sz w:val="30"/>
          <w:szCs w:val="30"/>
        </w:rPr>
      </w:pPr>
      <w:r>
        <w:fldChar w:fldCharType="begin"/>
      </w:r>
      <w:r>
        <w:instrText xml:space="preserve"> HYPERLINK \l "_Toc14440752" </w:instrText>
      </w:r>
      <w:r>
        <w:fldChar w:fldCharType="separate"/>
      </w:r>
      <w:r>
        <w:rPr>
          <w:rStyle w:val="21"/>
          <w:rFonts w:ascii="黑体" w:hAnsi="黑体" w:eastAsia="黑体" w:cs="黑体"/>
          <w:bCs/>
          <w:kern w:val="44"/>
          <w:sz w:val="30"/>
          <w:szCs w:val="30"/>
          <w:lang w:val="zh-CN"/>
        </w:rPr>
        <w:t>二、总体要求和发展目标</w:t>
      </w:r>
      <w:r>
        <w:rPr>
          <w:sz w:val="30"/>
          <w:szCs w:val="30"/>
        </w:rPr>
        <w:tab/>
      </w:r>
      <w:r>
        <w:rPr>
          <w:sz w:val="30"/>
          <w:szCs w:val="30"/>
        </w:rPr>
        <w:fldChar w:fldCharType="begin"/>
      </w:r>
      <w:r>
        <w:rPr>
          <w:sz w:val="30"/>
          <w:szCs w:val="30"/>
        </w:rPr>
        <w:instrText xml:space="preserve"> PAGEREF _Toc14440752 \h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"_Toc14440753" </w:instrText>
      </w:r>
      <w:r>
        <w:fldChar w:fldCharType="separate"/>
      </w:r>
      <w:r>
        <w:rPr>
          <w:rStyle w:val="21"/>
          <w:rFonts w:ascii="楷体" w:hAnsi="楷体" w:eastAsia="楷体" w:cs="楷体"/>
          <w:sz w:val="30"/>
          <w:szCs w:val="30"/>
        </w:rPr>
        <w:t>（一）指导思想。</w:t>
      </w:r>
      <w:r>
        <w:rPr>
          <w:sz w:val="30"/>
          <w:szCs w:val="30"/>
        </w:rPr>
        <w:tab/>
      </w:r>
      <w:r>
        <w:rPr>
          <w:sz w:val="30"/>
          <w:szCs w:val="30"/>
        </w:rPr>
        <w:fldChar w:fldCharType="begin"/>
      </w:r>
      <w:r>
        <w:rPr>
          <w:sz w:val="30"/>
          <w:szCs w:val="30"/>
        </w:rPr>
        <w:instrText xml:space="preserve"> PAGEREF _Toc14440753 \h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"_Toc14440754" </w:instrText>
      </w:r>
      <w:r>
        <w:fldChar w:fldCharType="separate"/>
      </w:r>
      <w:r>
        <w:rPr>
          <w:rStyle w:val="21"/>
          <w:rFonts w:ascii="楷体" w:hAnsi="楷体" w:eastAsia="楷体" w:cs="楷体"/>
          <w:sz w:val="30"/>
          <w:szCs w:val="30"/>
        </w:rPr>
        <w:t>（二）发展定位。</w:t>
      </w:r>
      <w:r>
        <w:rPr>
          <w:sz w:val="30"/>
          <w:szCs w:val="30"/>
        </w:rPr>
        <w:tab/>
      </w:r>
      <w:r>
        <w:rPr>
          <w:sz w:val="30"/>
          <w:szCs w:val="30"/>
        </w:rPr>
        <w:fldChar w:fldCharType="begin"/>
      </w:r>
      <w:r>
        <w:rPr>
          <w:sz w:val="30"/>
          <w:szCs w:val="30"/>
        </w:rPr>
        <w:instrText xml:space="preserve"> PAGEREF _Toc14440754 \h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"_Toc14440755" </w:instrText>
      </w:r>
      <w:r>
        <w:fldChar w:fldCharType="separate"/>
      </w:r>
      <w:r>
        <w:rPr>
          <w:rStyle w:val="21"/>
          <w:rFonts w:ascii="楷体" w:hAnsi="楷体" w:eastAsia="楷体" w:cs="楷体"/>
          <w:sz w:val="30"/>
          <w:szCs w:val="30"/>
        </w:rPr>
        <w:t>（三）主要目标。</w:t>
      </w:r>
      <w:r>
        <w:rPr>
          <w:sz w:val="30"/>
          <w:szCs w:val="30"/>
        </w:rPr>
        <w:tab/>
      </w:r>
      <w:r>
        <w:rPr>
          <w:sz w:val="30"/>
          <w:szCs w:val="30"/>
        </w:rPr>
        <w:fldChar w:fldCharType="begin"/>
      </w:r>
      <w:r>
        <w:rPr>
          <w:sz w:val="30"/>
          <w:szCs w:val="30"/>
        </w:rPr>
        <w:instrText xml:space="preserve"> PAGEREF _Toc14440755 \h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13"/>
        <w:tabs>
          <w:tab w:val="right" w:leader="dot" w:pos="8296"/>
        </w:tabs>
        <w:rPr>
          <w:rFonts w:asciiTheme="minorHAnsi" w:hAnsiTheme="minorHAnsi" w:eastAsiaTheme="minorEastAsia" w:cstheme="minorBidi"/>
          <w:sz w:val="30"/>
          <w:szCs w:val="30"/>
        </w:rPr>
      </w:pPr>
      <w:r>
        <w:fldChar w:fldCharType="begin"/>
      </w:r>
      <w:r>
        <w:instrText xml:space="preserve"> HYPERLINK \l "_Toc14440756" </w:instrText>
      </w:r>
      <w:r>
        <w:fldChar w:fldCharType="separate"/>
      </w:r>
      <w:r>
        <w:rPr>
          <w:rStyle w:val="21"/>
          <w:rFonts w:ascii="黑体" w:hAnsi="黑体" w:eastAsia="黑体" w:cs="黑体"/>
          <w:bCs/>
          <w:kern w:val="44"/>
          <w:sz w:val="30"/>
          <w:szCs w:val="30"/>
          <w:lang w:val="zh-CN"/>
        </w:rPr>
        <w:t>三、主要任务</w:t>
      </w:r>
      <w:r>
        <w:rPr>
          <w:sz w:val="30"/>
          <w:szCs w:val="30"/>
        </w:rPr>
        <w:tab/>
      </w:r>
      <w:r>
        <w:rPr>
          <w:sz w:val="30"/>
          <w:szCs w:val="30"/>
        </w:rPr>
        <w:fldChar w:fldCharType="begin"/>
      </w:r>
      <w:r>
        <w:rPr>
          <w:sz w:val="30"/>
          <w:szCs w:val="30"/>
        </w:rPr>
        <w:instrText xml:space="preserve"> PAGEREF _Toc14440756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"_Toc14440757" </w:instrText>
      </w:r>
      <w:r>
        <w:fldChar w:fldCharType="separate"/>
      </w:r>
      <w:r>
        <w:rPr>
          <w:rStyle w:val="21"/>
          <w:rFonts w:ascii="楷体" w:hAnsi="楷体" w:eastAsia="楷体" w:cs="楷体"/>
          <w:sz w:val="30"/>
          <w:szCs w:val="30"/>
        </w:rPr>
        <w:t>（一）聚焦生态工业，全力推动制造业数字化升级。</w:t>
      </w:r>
      <w:r>
        <w:rPr>
          <w:sz w:val="30"/>
          <w:szCs w:val="30"/>
        </w:rPr>
        <w:tab/>
      </w:r>
      <w:r>
        <w:rPr>
          <w:sz w:val="30"/>
          <w:szCs w:val="30"/>
        </w:rPr>
        <w:fldChar w:fldCharType="begin"/>
      </w:r>
      <w:r>
        <w:rPr>
          <w:sz w:val="30"/>
          <w:szCs w:val="30"/>
        </w:rPr>
        <w:instrText xml:space="preserve"> PAGEREF _Toc14440757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"_Toc14440758" </w:instrText>
      </w:r>
      <w:r>
        <w:fldChar w:fldCharType="separate"/>
      </w:r>
      <w:r>
        <w:rPr>
          <w:rStyle w:val="21"/>
          <w:rFonts w:ascii="楷体" w:hAnsi="楷体" w:eastAsia="楷体" w:cs="楷体"/>
          <w:sz w:val="30"/>
          <w:szCs w:val="30"/>
        </w:rPr>
        <w:t>（二）聚焦特色商贸，积极构筑数字化贸易新体系。</w:t>
      </w:r>
      <w:r>
        <w:rPr>
          <w:sz w:val="30"/>
          <w:szCs w:val="30"/>
        </w:rPr>
        <w:tab/>
      </w:r>
      <w:r>
        <w:rPr>
          <w:sz w:val="30"/>
          <w:szCs w:val="30"/>
        </w:rPr>
        <w:fldChar w:fldCharType="begin"/>
      </w:r>
      <w:r>
        <w:rPr>
          <w:sz w:val="30"/>
          <w:szCs w:val="30"/>
        </w:rPr>
        <w:instrText xml:space="preserve"> PAGEREF _Toc14440758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"_Toc14440759" </w:instrText>
      </w:r>
      <w:r>
        <w:fldChar w:fldCharType="separate"/>
      </w:r>
      <w:r>
        <w:rPr>
          <w:rStyle w:val="21"/>
          <w:rFonts w:ascii="楷体" w:hAnsi="楷体" w:eastAsia="楷体" w:cs="楷体"/>
          <w:sz w:val="30"/>
          <w:szCs w:val="30"/>
        </w:rPr>
        <w:t>（三）聚焦数据驱动，加快形成数字化赋能新动力。</w:t>
      </w:r>
      <w:r>
        <w:rPr>
          <w:sz w:val="30"/>
          <w:szCs w:val="30"/>
        </w:rPr>
        <w:tab/>
      </w:r>
      <w:r>
        <w:rPr>
          <w:sz w:val="30"/>
          <w:szCs w:val="30"/>
        </w:rPr>
        <w:fldChar w:fldCharType="begin"/>
      </w:r>
      <w:r>
        <w:rPr>
          <w:sz w:val="30"/>
          <w:szCs w:val="30"/>
        </w:rPr>
        <w:instrText xml:space="preserve"> PAGEREF _Toc14440759 \h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"_Toc14440760" </w:instrText>
      </w:r>
      <w:r>
        <w:fldChar w:fldCharType="separate"/>
      </w:r>
      <w:r>
        <w:rPr>
          <w:rStyle w:val="21"/>
          <w:rFonts w:ascii="楷体" w:hAnsi="楷体" w:eastAsia="楷体" w:cs="楷体"/>
          <w:sz w:val="30"/>
          <w:szCs w:val="30"/>
        </w:rPr>
        <w:t>（四）聚焦创新引领，培育发展数字经济核心产业。</w:t>
      </w:r>
      <w:r>
        <w:rPr>
          <w:sz w:val="30"/>
          <w:szCs w:val="30"/>
        </w:rPr>
        <w:tab/>
      </w:r>
      <w:r>
        <w:rPr>
          <w:sz w:val="30"/>
          <w:szCs w:val="30"/>
        </w:rPr>
        <w:fldChar w:fldCharType="begin"/>
      </w:r>
      <w:r>
        <w:rPr>
          <w:sz w:val="30"/>
          <w:szCs w:val="30"/>
        </w:rPr>
        <w:instrText xml:space="preserve"> PAGEREF _Toc14440760 \h </w:instrText>
      </w:r>
      <w:r>
        <w:rPr>
          <w:sz w:val="30"/>
          <w:szCs w:val="30"/>
        </w:rPr>
        <w:fldChar w:fldCharType="separate"/>
      </w:r>
      <w:r>
        <w:rPr>
          <w:sz w:val="30"/>
          <w:szCs w:val="30"/>
        </w:rPr>
        <w:t>20</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"_Toc14440761" </w:instrText>
      </w:r>
      <w:r>
        <w:fldChar w:fldCharType="separate"/>
      </w:r>
      <w:r>
        <w:rPr>
          <w:rStyle w:val="21"/>
          <w:rFonts w:ascii="楷体" w:hAnsi="楷体" w:eastAsia="楷体" w:cs="楷体"/>
          <w:sz w:val="30"/>
          <w:szCs w:val="30"/>
        </w:rPr>
        <w:t>（五）聚焦智慧应用，全面提升数字化服务新能级。</w:t>
      </w:r>
      <w:r>
        <w:rPr>
          <w:sz w:val="30"/>
          <w:szCs w:val="30"/>
        </w:rPr>
        <w:tab/>
      </w:r>
      <w:r>
        <w:rPr>
          <w:sz w:val="30"/>
          <w:szCs w:val="30"/>
        </w:rPr>
        <w:fldChar w:fldCharType="begin"/>
      </w:r>
      <w:r>
        <w:rPr>
          <w:sz w:val="30"/>
          <w:szCs w:val="30"/>
        </w:rPr>
        <w:instrText xml:space="preserve"> PAGEREF _Toc14440761 \h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"_Toc14440762" </w:instrText>
      </w:r>
      <w:r>
        <w:fldChar w:fldCharType="separate"/>
      </w:r>
      <w:r>
        <w:rPr>
          <w:rStyle w:val="21"/>
          <w:rFonts w:ascii="楷体" w:hAnsi="楷体" w:eastAsia="楷体" w:cs="楷体"/>
          <w:sz w:val="30"/>
          <w:szCs w:val="30"/>
        </w:rPr>
        <w:t>（六）聚焦问海借力，构筑一流数字经济营商环境。</w:t>
      </w:r>
      <w:r>
        <w:rPr>
          <w:sz w:val="30"/>
          <w:szCs w:val="30"/>
        </w:rPr>
        <w:tab/>
      </w:r>
      <w:r>
        <w:rPr>
          <w:sz w:val="30"/>
          <w:szCs w:val="30"/>
        </w:rPr>
        <w:fldChar w:fldCharType="begin"/>
      </w:r>
      <w:r>
        <w:rPr>
          <w:sz w:val="30"/>
          <w:szCs w:val="30"/>
        </w:rPr>
        <w:instrText xml:space="preserve"> PAGEREF _Toc14440762 \h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13"/>
        <w:tabs>
          <w:tab w:val="right" w:leader="dot" w:pos="8296"/>
        </w:tabs>
        <w:rPr>
          <w:rFonts w:asciiTheme="minorHAnsi" w:hAnsiTheme="minorHAnsi" w:eastAsiaTheme="minorEastAsia" w:cstheme="minorBidi"/>
          <w:sz w:val="30"/>
          <w:szCs w:val="30"/>
        </w:rPr>
      </w:pPr>
      <w:r>
        <w:fldChar w:fldCharType="begin"/>
      </w:r>
      <w:r>
        <w:instrText xml:space="preserve"> HYPERLINK \l "_Toc14440763" </w:instrText>
      </w:r>
      <w:r>
        <w:fldChar w:fldCharType="separate"/>
      </w:r>
      <w:r>
        <w:rPr>
          <w:rStyle w:val="21"/>
          <w:rFonts w:ascii="黑体" w:hAnsi="黑体" w:eastAsia="黑体" w:cs="黑体"/>
          <w:bCs/>
          <w:kern w:val="44"/>
          <w:sz w:val="30"/>
          <w:szCs w:val="30"/>
          <w:lang w:val="zh-CN"/>
        </w:rPr>
        <w:t>四、保障措施</w:t>
      </w:r>
      <w:r>
        <w:rPr>
          <w:sz w:val="30"/>
          <w:szCs w:val="30"/>
        </w:rPr>
        <w:tab/>
      </w:r>
      <w:r>
        <w:rPr>
          <w:sz w:val="30"/>
          <w:szCs w:val="30"/>
        </w:rPr>
        <w:fldChar w:fldCharType="begin"/>
      </w:r>
      <w:r>
        <w:rPr>
          <w:sz w:val="30"/>
          <w:szCs w:val="30"/>
        </w:rPr>
        <w:instrText xml:space="preserve"> PAGEREF _Toc14440763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"_Toc14440764" </w:instrText>
      </w:r>
      <w:r>
        <w:fldChar w:fldCharType="separate"/>
      </w:r>
      <w:r>
        <w:rPr>
          <w:rStyle w:val="21"/>
          <w:rFonts w:ascii="楷体" w:hAnsi="楷体" w:eastAsia="楷体" w:cs="楷体"/>
          <w:sz w:val="30"/>
          <w:szCs w:val="30"/>
        </w:rPr>
        <w:t>（一）完善组织领导。</w:t>
      </w:r>
      <w:r>
        <w:rPr>
          <w:sz w:val="30"/>
          <w:szCs w:val="30"/>
        </w:rPr>
        <w:tab/>
      </w:r>
      <w:r>
        <w:rPr>
          <w:sz w:val="30"/>
          <w:szCs w:val="30"/>
        </w:rPr>
        <w:fldChar w:fldCharType="begin"/>
      </w:r>
      <w:r>
        <w:rPr>
          <w:sz w:val="30"/>
          <w:szCs w:val="30"/>
        </w:rPr>
        <w:instrText xml:space="preserve"> PAGEREF _Toc14440764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"_Toc14440765" </w:instrText>
      </w:r>
      <w:r>
        <w:fldChar w:fldCharType="separate"/>
      </w:r>
      <w:r>
        <w:rPr>
          <w:rStyle w:val="21"/>
          <w:rFonts w:ascii="楷体" w:hAnsi="楷体" w:eastAsia="楷体" w:cs="楷体"/>
          <w:sz w:val="30"/>
          <w:szCs w:val="30"/>
        </w:rPr>
        <w:t>（二）加强财政支持。</w:t>
      </w:r>
      <w:r>
        <w:rPr>
          <w:sz w:val="30"/>
          <w:szCs w:val="30"/>
        </w:rPr>
        <w:tab/>
      </w:r>
      <w:r>
        <w:rPr>
          <w:sz w:val="30"/>
          <w:szCs w:val="30"/>
        </w:rPr>
        <w:fldChar w:fldCharType="begin"/>
      </w:r>
      <w:r>
        <w:rPr>
          <w:sz w:val="30"/>
          <w:szCs w:val="30"/>
        </w:rPr>
        <w:instrText xml:space="preserve"> PAGEREF _Toc14440765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"_Toc14440766" </w:instrText>
      </w:r>
      <w:r>
        <w:fldChar w:fldCharType="separate"/>
      </w:r>
      <w:r>
        <w:rPr>
          <w:rStyle w:val="21"/>
          <w:rFonts w:ascii="楷体" w:hAnsi="楷体" w:eastAsia="楷体" w:cs="楷体"/>
          <w:sz w:val="30"/>
          <w:szCs w:val="30"/>
        </w:rPr>
        <w:t>（三）健全考核评价。</w:t>
      </w:r>
      <w:r>
        <w:rPr>
          <w:sz w:val="30"/>
          <w:szCs w:val="30"/>
        </w:rPr>
        <w:tab/>
      </w:r>
      <w:r>
        <w:rPr>
          <w:sz w:val="30"/>
          <w:szCs w:val="30"/>
        </w:rPr>
        <w:fldChar w:fldCharType="begin"/>
      </w:r>
      <w:r>
        <w:rPr>
          <w:sz w:val="30"/>
          <w:szCs w:val="30"/>
        </w:rPr>
        <w:instrText xml:space="preserve"> PAGEREF _Toc14440766 \h </w:instrText>
      </w:r>
      <w:r>
        <w:rPr>
          <w:sz w:val="30"/>
          <w:szCs w:val="30"/>
        </w:rPr>
        <w:fldChar w:fldCharType="separate"/>
      </w:r>
      <w:r>
        <w:rPr>
          <w:sz w:val="30"/>
          <w:szCs w:val="30"/>
        </w:rPr>
        <w:t>32</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"_Toc14440767" </w:instrText>
      </w:r>
      <w:r>
        <w:fldChar w:fldCharType="separate"/>
      </w:r>
      <w:r>
        <w:rPr>
          <w:rStyle w:val="21"/>
          <w:rFonts w:ascii="楷体" w:hAnsi="楷体" w:eastAsia="楷体" w:cs="楷体"/>
          <w:sz w:val="30"/>
          <w:szCs w:val="30"/>
        </w:rPr>
        <w:t>（四）促进合作交流。</w:t>
      </w:r>
      <w:r>
        <w:rPr>
          <w:sz w:val="30"/>
          <w:szCs w:val="30"/>
        </w:rPr>
        <w:tab/>
      </w:r>
      <w:r>
        <w:rPr>
          <w:sz w:val="30"/>
          <w:szCs w:val="30"/>
        </w:rPr>
        <w:fldChar w:fldCharType="begin"/>
      </w:r>
      <w:r>
        <w:rPr>
          <w:sz w:val="30"/>
          <w:szCs w:val="30"/>
        </w:rPr>
        <w:instrText xml:space="preserve"> PAGEREF _Toc14440767 \h </w:instrText>
      </w:r>
      <w:r>
        <w:rPr>
          <w:sz w:val="30"/>
          <w:szCs w:val="30"/>
        </w:rPr>
        <w:fldChar w:fldCharType="separate"/>
      </w:r>
      <w:r>
        <w:rPr>
          <w:sz w:val="30"/>
          <w:szCs w:val="30"/>
        </w:rPr>
        <w:t>32</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sz w:val="30"/>
          <w:szCs w:val="30"/>
        </w:rPr>
      </w:pPr>
      <w:r>
        <w:fldChar w:fldCharType="begin"/>
      </w:r>
      <w:r>
        <w:instrText xml:space="preserve"> HYPERLINK \l "_Toc14440768" </w:instrText>
      </w:r>
      <w:r>
        <w:fldChar w:fldCharType="separate"/>
      </w:r>
      <w:r>
        <w:rPr>
          <w:rStyle w:val="21"/>
          <w:rFonts w:ascii="楷体" w:hAnsi="楷体" w:eastAsia="楷体" w:cs="楷体"/>
          <w:sz w:val="30"/>
          <w:szCs w:val="30"/>
        </w:rPr>
        <w:t>（五）营造良好环境。</w:t>
      </w:r>
      <w:r>
        <w:rPr>
          <w:sz w:val="30"/>
          <w:szCs w:val="30"/>
        </w:rPr>
        <w:tab/>
      </w:r>
      <w:r>
        <w:rPr>
          <w:sz w:val="30"/>
          <w:szCs w:val="30"/>
        </w:rPr>
        <w:fldChar w:fldCharType="begin"/>
      </w:r>
      <w:r>
        <w:rPr>
          <w:sz w:val="30"/>
          <w:szCs w:val="30"/>
        </w:rPr>
        <w:instrText xml:space="preserve"> PAGEREF _Toc14440768 \h </w:instrText>
      </w:r>
      <w:r>
        <w:rPr>
          <w:sz w:val="30"/>
          <w:szCs w:val="30"/>
        </w:rPr>
        <w:fldChar w:fldCharType="separate"/>
      </w:r>
      <w:r>
        <w:rPr>
          <w:sz w:val="30"/>
          <w:szCs w:val="30"/>
        </w:rPr>
        <w:t>32</w:t>
      </w:r>
      <w:r>
        <w:rPr>
          <w:sz w:val="30"/>
          <w:szCs w:val="30"/>
        </w:rPr>
        <w:fldChar w:fldCharType="end"/>
      </w:r>
      <w:r>
        <w:rPr>
          <w:sz w:val="30"/>
          <w:szCs w:val="30"/>
        </w:rPr>
        <w:fldChar w:fldCharType="end"/>
      </w:r>
    </w:p>
    <w:p>
      <w:r>
        <w:rPr>
          <w:b/>
          <w:bCs/>
          <w:sz w:val="28"/>
          <w:szCs w:val="28"/>
          <w:lang w:val="zh-CN"/>
        </w:rPr>
        <w:fldChar w:fldCharType="end"/>
      </w:r>
    </w:p>
    <w:p>
      <w:pPr>
        <w:pStyle w:val="16"/>
        <w:tabs>
          <w:tab w:val="right" w:leader="dot" w:pos="8306"/>
        </w:tabs>
        <w:ind w:left="0" w:leftChars="0"/>
        <w:rPr>
          <w:rFonts w:ascii="楷体" w:hAnsi="楷体" w:eastAsia="楷体" w:cs="楷体"/>
          <w:szCs w:val="32"/>
          <w:lang w:val="zh-CN"/>
        </w:rPr>
        <w:sectPr>
          <w:footerReference r:id="rId3" w:type="default"/>
          <w:pgSz w:w="11906" w:h="16838"/>
          <w:pgMar w:top="1440" w:right="1800" w:bottom="1440" w:left="1800" w:header="851" w:footer="992" w:gutter="0"/>
          <w:cols w:space="720" w:num="1"/>
          <w:docGrid w:type="lines" w:linePitch="312" w:charSpace="0"/>
        </w:sectPr>
      </w:pPr>
    </w:p>
    <w:p>
      <w:pPr>
        <w:ind w:firstLine="640" w:firstLineChars="200"/>
        <w:rPr>
          <w:rFonts w:ascii="仿宋" w:hAnsi="仿宋" w:eastAsia="仿宋" w:cs="仿宋"/>
          <w:bCs/>
          <w:sz w:val="32"/>
          <w:szCs w:val="32"/>
        </w:rPr>
      </w:pPr>
      <w:r>
        <w:rPr>
          <w:rFonts w:hint="eastAsia" w:ascii="仿宋" w:hAnsi="仿宋" w:eastAsia="仿宋" w:cs="仿宋"/>
          <w:bCs/>
          <w:sz w:val="32"/>
          <w:szCs w:val="32"/>
        </w:rPr>
        <w:t>数字经济是继农业经济、工业经济之后的新经济形态，是以数据资源为重要生产要素，以现代信息网络为主要载体，以信息通信技术融合应用、全要素数字化转型为重要推动力，促进公平与效率趋于统一的经济形态。为深入贯彻党的十九大精神，全面落实省委省政府“两个高水平”战略要求和数字经济“一号工程”具体部署，加快全县数字经济发展，全面赋能青田实体经济高质量发展，根据《浙江省数字经济五年倍增计划》和《丽水市数字经济五年行动计划》等文件要求，特制订本规划，规划年限为2</w:t>
      </w:r>
      <w:r>
        <w:rPr>
          <w:rFonts w:ascii="仿宋" w:hAnsi="仿宋" w:eastAsia="仿宋" w:cs="仿宋"/>
          <w:bCs/>
          <w:sz w:val="32"/>
          <w:szCs w:val="32"/>
        </w:rPr>
        <w:t>018</w:t>
      </w:r>
      <w:r>
        <w:rPr>
          <w:rFonts w:hint="eastAsia" w:ascii="仿宋" w:hAnsi="仿宋" w:eastAsia="仿宋" w:cs="仿宋"/>
          <w:bCs/>
          <w:sz w:val="32"/>
          <w:szCs w:val="32"/>
        </w:rPr>
        <w:t>年-</w:t>
      </w:r>
      <w:r>
        <w:rPr>
          <w:rFonts w:ascii="仿宋" w:hAnsi="仿宋" w:eastAsia="仿宋" w:cs="仿宋"/>
          <w:bCs/>
          <w:sz w:val="32"/>
          <w:szCs w:val="32"/>
        </w:rPr>
        <w:t>2022</w:t>
      </w:r>
      <w:r>
        <w:rPr>
          <w:rFonts w:hint="eastAsia" w:ascii="仿宋" w:hAnsi="仿宋" w:eastAsia="仿宋" w:cs="仿宋"/>
          <w:bCs/>
          <w:sz w:val="32"/>
          <w:szCs w:val="32"/>
        </w:rPr>
        <w:t>年。</w:t>
      </w:r>
    </w:p>
    <w:p>
      <w:pPr>
        <w:keepNext/>
        <w:keepLines/>
        <w:spacing w:before="120" w:after="120" w:line="360" w:lineRule="auto"/>
        <w:ind w:firstLine="723" w:firstLineChars="200"/>
        <w:outlineLvl w:val="0"/>
        <w:rPr>
          <w:rFonts w:ascii="黑体" w:hAnsi="黑体" w:eastAsia="黑体" w:cs="黑体"/>
          <w:b/>
          <w:bCs/>
          <w:kern w:val="44"/>
          <w:sz w:val="36"/>
          <w:szCs w:val="36"/>
          <w:lang w:val="zh-CN"/>
        </w:rPr>
      </w:pPr>
      <w:bookmarkStart w:id="4" w:name="_Toc14440749"/>
      <w:r>
        <w:rPr>
          <w:rFonts w:hint="eastAsia" w:ascii="黑体" w:hAnsi="黑体" w:eastAsia="黑体" w:cs="黑体"/>
          <w:b/>
          <w:bCs/>
          <w:kern w:val="44"/>
          <w:sz w:val="36"/>
          <w:szCs w:val="36"/>
          <w:lang w:val="zh-CN"/>
        </w:rPr>
        <w:t>一、面临形势和现实基础</w:t>
      </w:r>
      <w:bookmarkEnd w:id="4"/>
    </w:p>
    <w:p>
      <w:pPr>
        <w:spacing w:before="156" w:beforeLines="50"/>
        <w:ind w:firstLine="643" w:firstLineChars="200"/>
        <w:outlineLvl w:val="1"/>
        <w:rPr>
          <w:rFonts w:ascii="楷体" w:hAnsi="楷体" w:eastAsia="楷体" w:cs="楷体"/>
          <w:b/>
          <w:sz w:val="32"/>
          <w:szCs w:val="32"/>
        </w:rPr>
      </w:pPr>
      <w:bookmarkStart w:id="5" w:name="_Toc14440750"/>
      <w:r>
        <w:rPr>
          <w:rFonts w:hint="eastAsia" w:ascii="楷体" w:hAnsi="楷体" w:eastAsia="楷体" w:cs="楷体"/>
          <w:b/>
          <w:sz w:val="32"/>
          <w:szCs w:val="32"/>
        </w:rPr>
        <w:t>（一）面临形势。</w:t>
      </w:r>
      <w:bookmarkEnd w:id="5"/>
    </w:p>
    <w:p>
      <w:pPr>
        <w:ind w:firstLine="643" w:firstLineChars="200"/>
        <w:rPr>
          <w:rFonts w:ascii="仿宋" w:hAnsi="仿宋" w:eastAsia="仿宋" w:cs="仿宋"/>
          <w:b/>
          <w:bCs/>
          <w:sz w:val="32"/>
          <w:szCs w:val="32"/>
        </w:rPr>
      </w:pPr>
      <w:r>
        <w:rPr>
          <w:rFonts w:hint="eastAsia" w:ascii="仿宋" w:hAnsi="仿宋" w:eastAsia="仿宋" w:cs="仿宋"/>
          <w:b/>
          <w:bCs/>
          <w:sz w:val="32"/>
          <w:szCs w:val="32"/>
        </w:rPr>
        <w:t>1、信息技术创新突破为数字经济发展增实力</w:t>
      </w:r>
    </w:p>
    <w:p>
      <w:pPr>
        <w:ind w:firstLine="640" w:firstLineChars="200"/>
        <w:rPr>
          <w:rFonts w:ascii="仿宋" w:hAnsi="仿宋" w:eastAsia="仿宋" w:cs="仿宋"/>
          <w:bCs/>
          <w:sz w:val="32"/>
          <w:szCs w:val="32"/>
        </w:rPr>
      </w:pPr>
      <w:r>
        <w:rPr>
          <w:rFonts w:hint="eastAsia" w:ascii="仿宋" w:hAnsi="仿宋" w:eastAsia="仿宋" w:cs="仿宋"/>
          <w:bCs/>
          <w:sz w:val="32"/>
          <w:szCs w:val="32"/>
        </w:rPr>
        <w:t>从全球技术发展趋势来看，以先进计算、高速互联、智能感知等技术领域创新方兴未艾，类脑计算、深度学习、机器视觉、虚拟现实、增强现实乃至无人驾驶、智能制造、智慧医疗等技术及应用创新层出不穷。新一代信息技术是第三次工业革命的骨架和灵魂，是创新最活跃、带动力最强、渗透性最广的战略性技术，已经成为世界各国抢占未来科技和产业发展先机、确立竞争新优势的战略制高点。青田县作为丽水市唯一的工业强县，要紧紧抓住新一代信息技术发展的浪潮，以培育发展信息技术产业为引领，全面提升数字经济发展新动力。</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2、深度融合应用创新为数字经济发展添动力</w:t>
      </w:r>
    </w:p>
    <w:p>
      <w:pPr>
        <w:ind w:firstLine="640" w:firstLineChars="200"/>
        <w:rPr>
          <w:rFonts w:ascii="仿宋" w:hAnsi="仿宋" w:eastAsia="仿宋" w:cs="仿宋"/>
          <w:bCs/>
          <w:sz w:val="32"/>
          <w:szCs w:val="32"/>
        </w:rPr>
      </w:pPr>
      <w:r>
        <w:rPr>
          <w:rFonts w:hint="eastAsia" w:ascii="仿宋" w:hAnsi="仿宋" w:eastAsia="仿宋" w:cs="仿宋"/>
          <w:bCs/>
          <w:sz w:val="32"/>
          <w:szCs w:val="32"/>
        </w:rPr>
        <w:t>当前，信息技术革命风起云涌，正以传统产业难以比拟的增量效应、乘数效应和技术外溢效应，不断向对先进制造业、现代供应链、现代金融服务、中高端消费市场等领域的产品和服务渗透，信息技术已经成为推动全球产业变革的核心力量，并且不断集聚创新资源与要素，与新业务形态、新商业模式互动融合，快速推动农业、工业和服务业的转型升级和变革。青田县要顺应“信息技术+”的发展趋势，以信息技术创新应用为引擎，赋能实体经济全面振兴。</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3、数据资源开放利用为数字经济发展赋能量</w:t>
      </w:r>
    </w:p>
    <w:p>
      <w:pPr>
        <w:ind w:firstLine="640" w:firstLineChars="200"/>
        <w:rPr>
          <w:rFonts w:ascii="仿宋" w:hAnsi="仿宋" w:eastAsia="仿宋" w:cs="仿宋"/>
          <w:bCs/>
          <w:sz w:val="32"/>
          <w:szCs w:val="32"/>
        </w:rPr>
      </w:pPr>
      <w:r>
        <w:rPr>
          <w:rFonts w:hint="eastAsia" w:ascii="仿宋" w:hAnsi="仿宋" w:eastAsia="仿宋" w:cs="仿宋"/>
          <w:bCs/>
          <w:sz w:val="32"/>
          <w:szCs w:val="32"/>
        </w:rPr>
        <w:t>随着各行业领域数据的不断积累和汇聚，数据资源的价值将不断凸显，未来数据成为关键生产要素，计算成为核心生产力。当前，数据正在倒逼传统经济和社会实现颠覆性变革，服务未来业务、满足大规模网络级应用部署的下一代数据中心的建设迫在眉睫。据 IDC 统计，到 2020 年，预计全球 2000 强企业中的 50% 会发现，大部分创新业务取决于以数字化技术打造增强型产品、服务和用户体验的能力。因此，青田要抓住大数据发展机遇，激活行业、政府等数字资源，以数据为驱动提升行业发展活力和政府服务能力。</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4、信息基础设施升级为数字经济发展强支撑</w:t>
      </w:r>
    </w:p>
    <w:p>
      <w:pPr>
        <w:ind w:firstLine="640" w:firstLineChars="200"/>
        <w:rPr>
          <w:rFonts w:ascii="仿宋" w:hAnsi="仿宋" w:eastAsia="仿宋" w:cs="仿宋"/>
          <w:bCs/>
          <w:sz w:val="32"/>
          <w:szCs w:val="32"/>
        </w:rPr>
      </w:pPr>
      <w:r>
        <w:rPr>
          <w:rFonts w:hint="eastAsia" w:ascii="仿宋" w:hAnsi="仿宋" w:eastAsia="仿宋" w:cs="仿宋"/>
          <w:bCs/>
          <w:sz w:val="32"/>
          <w:szCs w:val="32"/>
        </w:rPr>
        <w:t>随着云网融合、边缘计算、人工智能、区块链等技术快速更迭，虚拟化技术支持核心网络架构转型升级，物联网平台的逐步发展，网络基础设施加速向高速率、万物互联、智能化升级。工业互联网、能源互联网、智能交通、车辆网等网络基础设施应用不断扩大，数字基础设施不断升级，引领人类社会迈向万物感知、万物互联、万物智能的智能世界。青田要加快数字基础设施能级提升，加快构建高速、移动、安全、泛在的新一代信息基础设施，全面支撑县域数字经济高水平、高质量发展。</w:t>
      </w:r>
    </w:p>
    <w:p>
      <w:pPr>
        <w:spacing w:before="156" w:beforeLines="50"/>
        <w:ind w:firstLine="643" w:firstLineChars="200"/>
        <w:outlineLvl w:val="1"/>
        <w:rPr>
          <w:rFonts w:ascii="楷体" w:hAnsi="楷体" w:eastAsia="楷体" w:cs="楷体"/>
          <w:b/>
          <w:sz w:val="32"/>
          <w:szCs w:val="32"/>
        </w:rPr>
      </w:pPr>
      <w:bookmarkStart w:id="6" w:name="_Toc14440751"/>
      <w:r>
        <w:rPr>
          <w:rFonts w:hint="eastAsia" w:ascii="楷体" w:hAnsi="楷体" w:eastAsia="楷体" w:cs="楷体"/>
          <w:b/>
          <w:sz w:val="32"/>
          <w:szCs w:val="32"/>
        </w:rPr>
        <w:t>（二）基础现状。</w:t>
      </w:r>
      <w:bookmarkEnd w:id="6"/>
    </w:p>
    <w:p>
      <w:pPr>
        <w:ind w:firstLine="643" w:firstLineChars="200"/>
        <w:rPr>
          <w:rFonts w:ascii="仿宋" w:hAnsi="仿宋" w:eastAsia="仿宋" w:cs="仿宋"/>
          <w:b/>
          <w:bCs/>
          <w:sz w:val="32"/>
          <w:szCs w:val="32"/>
        </w:rPr>
      </w:pPr>
      <w:r>
        <w:rPr>
          <w:rFonts w:hint="eastAsia" w:ascii="仿宋" w:hAnsi="仿宋" w:eastAsia="仿宋" w:cs="仿宋"/>
          <w:b/>
          <w:bCs/>
          <w:sz w:val="32"/>
          <w:szCs w:val="32"/>
        </w:rPr>
        <w:t>1、产业数字化进程加快，数字工业示范引领</w:t>
      </w:r>
    </w:p>
    <w:p>
      <w:pPr>
        <w:ind w:firstLine="640" w:firstLineChars="200"/>
        <w:rPr>
          <w:rFonts w:ascii="仿宋" w:hAnsi="仿宋" w:eastAsia="仿宋" w:cs="仿宋"/>
          <w:bCs/>
          <w:sz w:val="32"/>
          <w:szCs w:val="32"/>
        </w:rPr>
      </w:pPr>
      <w:r>
        <w:rPr>
          <w:rFonts w:hint="eastAsia" w:ascii="仿宋" w:hAnsi="仿宋" w:eastAsia="仿宋" w:cs="仿宋"/>
          <w:bCs/>
          <w:sz w:val="32"/>
          <w:szCs w:val="32"/>
        </w:rPr>
        <w:t>青田县是丽水地区最早列入全省两化融合示范区的县域城市，2018年全县两化融合发展指数达到69.24，属于省内两化融合发展二类地区，居丽水市首位。近三年以来骨干企业的主要信息系统应用率普遍提升，ERP普及率由2</w:t>
      </w:r>
      <w:r>
        <w:rPr>
          <w:rFonts w:ascii="仿宋" w:hAnsi="仿宋" w:eastAsia="仿宋" w:cs="仿宋"/>
          <w:bCs/>
          <w:sz w:val="32"/>
          <w:szCs w:val="32"/>
        </w:rPr>
        <w:t>015</w:t>
      </w:r>
      <w:r>
        <w:rPr>
          <w:rFonts w:hint="eastAsia" w:ascii="仿宋" w:hAnsi="仿宋" w:eastAsia="仿宋" w:cs="仿宋"/>
          <w:bCs/>
          <w:sz w:val="32"/>
          <w:szCs w:val="32"/>
        </w:rPr>
        <w:t>年的6</w:t>
      </w:r>
      <w:r>
        <w:rPr>
          <w:rFonts w:ascii="仿宋" w:hAnsi="仿宋" w:eastAsia="仿宋" w:cs="仿宋"/>
          <w:bCs/>
          <w:sz w:val="32"/>
          <w:szCs w:val="32"/>
        </w:rPr>
        <w:t>0</w:t>
      </w:r>
      <w:r>
        <w:rPr>
          <w:rFonts w:hint="eastAsia" w:ascii="仿宋" w:hAnsi="仿宋" w:eastAsia="仿宋" w:cs="仿宋"/>
          <w:bCs/>
          <w:sz w:val="32"/>
          <w:szCs w:val="32"/>
        </w:rPr>
        <w:t>%上升到2</w:t>
      </w:r>
      <w:r>
        <w:rPr>
          <w:rFonts w:ascii="仿宋" w:hAnsi="仿宋" w:eastAsia="仿宋" w:cs="仿宋"/>
          <w:bCs/>
          <w:sz w:val="32"/>
          <w:szCs w:val="32"/>
        </w:rPr>
        <w:t>018</w:t>
      </w:r>
      <w:r>
        <w:rPr>
          <w:rFonts w:hint="eastAsia" w:ascii="仿宋" w:hAnsi="仿宋" w:eastAsia="仿宋" w:cs="仿宋"/>
          <w:bCs/>
          <w:sz w:val="32"/>
          <w:szCs w:val="32"/>
        </w:rPr>
        <w:t>年的6</w:t>
      </w:r>
      <w:r>
        <w:rPr>
          <w:rFonts w:ascii="仿宋" w:hAnsi="仿宋" w:eastAsia="仿宋" w:cs="仿宋"/>
          <w:bCs/>
          <w:sz w:val="32"/>
          <w:szCs w:val="32"/>
        </w:rPr>
        <w:t>5</w:t>
      </w:r>
      <w:r>
        <w:rPr>
          <w:rFonts w:hint="eastAsia" w:ascii="仿宋" w:hAnsi="仿宋" w:eastAsia="仿宋" w:cs="仿宋"/>
          <w:bCs/>
          <w:sz w:val="32"/>
          <w:szCs w:val="32"/>
        </w:rPr>
        <w:t>%，MES普及率由2</w:t>
      </w:r>
      <w:r>
        <w:rPr>
          <w:rFonts w:ascii="仿宋" w:hAnsi="仿宋" w:eastAsia="仿宋" w:cs="仿宋"/>
          <w:bCs/>
          <w:sz w:val="32"/>
          <w:szCs w:val="32"/>
        </w:rPr>
        <w:t>015</w:t>
      </w:r>
      <w:r>
        <w:rPr>
          <w:rFonts w:hint="eastAsia" w:ascii="仿宋" w:hAnsi="仿宋" w:eastAsia="仿宋" w:cs="仿宋"/>
          <w:bCs/>
          <w:sz w:val="32"/>
          <w:szCs w:val="32"/>
        </w:rPr>
        <w:t>年的3</w:t>
      </w:r>
      <w:r>
        <w:rPr>
          <w:rFonts w:ascii="仿宋" w:hAnsi="仿宋" w:eastAsia="仿宋" w:cs="仿宋"/>
          <w:bCs/>
          <w:sz w:val="32"/>
          <w:szCs w:val="32"/>
        </w:rPr>
        <w:t>5</w:t>
      </w:r>
      <w:r>
        <w:rPr>
          <w:rFonts w:hint="eastAsia" w:ascii="仿宋" w:hAnsi="仿宋" w:eastAsia="仿宋" w:cs="仿宋"/>
          <w:bCs/>
          <w:sz w:val="32"/>
          <w:szCs w:val="32"/>
        </w:rPr>
        <w:t>%上升到4</w:t>
      </w:r>
      <w:r>
        <w:rPr>
          <w:rFonts w:ascii="仿宋" w:hAnsi="仿宋" w:eastAsia="仿宋" w:cs="仿宋"/>
          <w:bCs/>
          <w:sz w:val="32"/>
          <w:szCs w:val="32"/>
        </w:rPr>
        <w:t>5</w:t>
      </w:r>
      <w:r>
        <w:rPr>
          <w:rFonts w:hint="eastAsia" w:ascii="仿宋" w:hAnsi="仿宋" w:eastAsia="仿宋" w:cs="仿宋"/>
          <w:bCs/>
          <w:sz w:val="32"/>
          <w:szCs w:val="32"/>
        </w:rPr>
        <w:t>%，C</w:t>
      </w:r>
      <w:r>
        <w:rPr>
          <w:rFonts w:ascii="仿宋" w:hAnsi="仿宋" w:eastAsia="仿宋" w:cs="仿宋"/>
          <w:bCs/>
          <w:sz w:val="32"/>
          <w:szCs w:val="32"/>
        </w:rPr>
        <w:t>AD</w:t>
      </w:r>
      <w:r>
        <w:rPr>
          <w:rFonts w:hint="eastAsia" w:ascii="仿宋" w:hAnsi="仿宋" w:eastAsia="仿宋" w:cs="仿宋"/>
          <w:bCs/>
          <w:sz w:val="32"/>
          <w:szCs w:val="32"/>
        </w:rPr>
        <w:t>数字化设计普及率由2</w:t>
      </w:r>
      <w:r>
        <w:rPr>
          <w:rFonts w:ascii="仿宋" w:hAnsi="仿宋" w:eastAsia="仿宋" w:cs="仿宋"/>
          <w:bCs/>
          <w:sz w:val="32"/>
          <w:szCs w:val="32"/>
        </w:rPr>
        <w:t>015</w:t>
      </w:r>
      <w:r>
        <w:rPr>
          <w:rFonts w:hint="eastAsia" w:ascii="仿宋" w:hAnsi="仿宋" w:eastAsia="仿宋" w:cs="仿宋"/>
          <w:bCs/>
          <w:sz w:val="32"/>
          <w:szCs w:val="32"/>
        </w:rPr>
        <w:t>年的</w:t>
      </w:r>
      <w:r>
        <w:rPr>
          <w:rFonts w:ascii="仿宋" w:hAnsi="仿宋" w:eastAsia="仿宋" w:cs="仿宋"/>
          <w:bCs/>
          <w:sz w:val="32"/>
          <w:szCs w:val="32"/>
        </w:rPr>
        <w:t>75</w:t>
      </w:r>
      <w:r>
        <w:rPr>
          <w:rFonts w:hint="eastAsia" w:ascii="仿宋" w:hAnsi="仿宋" w:eastAsia="仿宋" w:cs="仿宋"/>
          <w:bCs/>
          <w:sz w:val="32"/>
          <w:szCs w:val="32"/>
        </w:rPr>
        <w:t>%上升到8</w:t>
      </w:r>
      <w:r>
        <w:rPr>
          <w:rFonts w:ascii="仿宋" w:hAnsi="仿宋" w:eastAsia="仿宋" w:cs="仿宋"/>
          <w:bCs/>
          <w:sz w:val="32"/>
          <w:szCs w:val="32"/>
        </w:rPr>
        <w:t>0</w:t>
      </w:r>
      <w:r>
        <w:rPr>
          <w:rFonts w:hint="eastAsia" w:ascii="仿宋" w:hAnsi="仿宋" w:eastAsia="仿宋" w:cs="仿宋"/>
          <w:bCs/>
          <w:sz w:val="32"/>
          <w:szCs w:val="32"/>
        </w:rPr>
        <w:t>%。起步公司入选鞋服行业省级个性化定制示范试点培育名单，三辰电器入选省级工业互联网平台创建名单和浙江省服务型制造示范企业名单，两家企业同时入选省级制造业与互联网融合发展示范试点企业名单；三辰电器和起步公司分别入选浙江省“第一批上云标杆企业”和“第二批上云标杆企业”，数量居全市第一；同时，三辰电器和起步公司先后通过国家工信部“两化”融合管理体系贯标评定，数量位居全市首位。</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2、数字产业化全面提速，数字产业支撑增强</w:t>
      </w:r>
    </w:p>
    <w:p>
      <w:pPr>
        <w:ind w:firstLine="640" w:firstLineChars="200"/>
        <w:rPr>
          <w:rFonts w:ascii="仿宋" w:hAnsi="仿宋" w:eastAsia="仿宋" w:cs="仿宋"/>
          <w:bCs/>
          <w:sz w:val="32"/>
          <w:szCs w:val="32"/>
        </w:rPr>
      </w:pPr>
      <w:r>
        <w:rPr>
          <w:rFonts w:hint="eastAsia" w:ascii="仿宋" w:hAnsi="仿宋" w:eastAsia="仿宋" w:cs="仿宋"/>
          <w:bCs/>
          <w:sz w:val="32"/>
          <w:szCs w:val="32"/>
        </w:rPr>
        <w:t>近几年来，青田县积极推动数字产业化发展，根据《2018年浙江省数字经济发展综合评价报告》显示，青田数字经济综合评价位列全省各县市区第57位，丽水地区第3位。其中，产业数字化位居全省37位，数字产业化位居全省第61位。2017年，全县实现数字经济核心产业增加值8.07亿元，占GDP比重达3.62%。</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3、新兴业态模式崛起，特色电商发展迅速</w:t>
      </w:r>
    </w:p>
    <w:p>
      <w:pPr>
        <w:ind w:firstLine="640" w:firstLineChars="200"/>
        <w:rPr>
          <w:rFonts w:ascii="仿宋" w:hAnsi="仿宋" w:eastAsia="仿宋"/>
          <w:color w:val="000000"/>
          <w:sz w:val="32"/>
          <w:szCs w:val="32"/>
        </w:rPr>
      </w:pPr>
      <w:r>
        <w:rPr>
          <w:rFonts w:hint="eastAsia" w:ascii="仿宋" w:hAnsi="仿宋" w:eastAsia="仿宋" w:cs="仿宋"/>
          <w:bCs/>
          <w:sz w:val="32"/>
          <w:szCs w:val="32"/>
        </w:rPr>
        <w:t>青田县电子商务保持快速发展，农村电商全面推进，以青田侨乡进口商品城为代表的电子商务发展迅速</w:t>
      </w:r>
      <w:r>
        <w:rPr>
          <w:rFonts w:hint="eastAsia" w:ascii="仿宋" w:hAnsi="仿宋" w:eastAsia="仿宋"/>
          <w:sz w:val="32"/>
          <w:szCs w:val="32"/>
        </w:rPr>
        <w:t>。从2015年开业至今，青田侨乡进口商品城已实现销售额</w:t>
      </w:r>
      <w:r>
        <w:rPr>
          <w:rFonts w:ascii="仿宋" w:hAnsi="仿宋" w:eastAsia="仿宋"/>
          <w:sz w:val="32"/>
          <w:szCs w:val="32"/>
        </w:rPr>
        <w:t>35</w:t>
      </w:r>
      <w:r>
        <w:rPr>
          <w:rFonts w:hint="eastAsia" w:ascii="仿宋" w:hAnsi="仿宋" w:eastAsia="仿宋"/>
          <w:sz w:val="32"/>
          <w:szCs w:val="32"/>
        </w:rPr>
        <w:t>亿元，网络销售约占25%。据统计，2018年青田县网络零售额约50.89亿元，同比增长33.21%，占全县社会消费品零售总额的45.32%；全县共建成社区电子商务服务站（E邮柜）29个。东青杨梅专业合作社、波特家庭农场等农业基地实现可视化、智能化生产，“稻鱼米”入驻“盒马鲜生”</w:t>
      </w:r>
      <w:r>
        <w:rPr>
          <w:rFonts w:hint="eastAsia" w:ascii="仿宋" w:hAnsi="仿宋" w:eastAsia="仿宋"/>
          <w:color w:val="000000"/>
          <w:sz w:val="32"/>
          <w:szCs w:val="32"/>
        </w:rPr>
        <w:t>，侨乡农品城携手“华人邦”平台实现农产品海外手机直购。侨乡进口商品城携手“七彩易购”“华侨帮”“淘七洲”“跨贸通”“刷脸”五大专业平台，实现电商化发展。</w:t>
      </w:r>
    </w:p>
    <w:p>
      <w:pPr>
        <w:ind w:firstLine="643" w:firstLineChars="200"/>
        <w:rPr>
          <w:rFonts w:ascii="仿宋" w:hAnsi="仿宋" w:eastAsia="仿宋" w:cs="仿宋"/>
          <w:b/>
          <w:bCs/>
          <w:sz w:val="32"/>
          <w:szCs w:val="32"/>
        </w:rPr>
      </w:pPr>
      <w:r>
        <w:rPr>
          <w:rFonts w:ascii="仿宋" w:hAnsi="仿宋" w:eastAsia="仿宋" w:cs="仿宋"/>
          <w:b/>
          <w:bCs/>
          <w:sz w:val="32"/>
          <w:szCs w:val="32"/>
        </w:rPr>
        <w:t>4</w:t>
      </w:r>
      <w:r>
        <w:rPr>
          <w:rFonts w:hint="eastAsia" w:ascii="仿宋" w:hAnsi="仿宋" w:eastAsia="仿宋" w:cs="仿宋"/>
          <w:b/>
          <w:bCs/>
          <w:sz w:val="32"/>
          <w:szCs w:val="32"/>
        </w:rPr>
        <w:t>、网络设施优化提升，民生智慧应用成效凸显</w:t>
      </w:r>
    </w:p>
    <w:p>
      <w:pPr>
        <w:ind w:firstLine="640" w:firstLineChars="200"/>
        <w:rPr>
          <w:rFonts w:ascii="仿宋" w:hAnsi="仿宋" w:eastAsia="仿宋" w:cs="仿宋"/>
          <w:bCs/>
          <w:sz w:val="32"/>
          <w:szCs w:val="32"/>
        </w:rPr>
      </w:pPr>
      <w:r>
        <w:rPr>
          <w:rFonts w:hint="eastAsia" w:ascii="仿宋" w:hAnsi="仿宋" w:eastAsia="仿宋" w:cs="仿宋"/>
          <w:bCs/>
          <w:sz w:val="32"/>
          <w:szCs w:val="32"/>
        </w:rPr>
        <w:t>青田县全面提升宽带网络基础设施建设，着力扩大4G覆盖范围。目前，全县宽带用户12.58万户，其中光纤接入用户11.88万户，占宽带用户总数的94.43%；县内4G用户数近32.21万。全县重点场所和公共区域的WiFi免费开放，全年i-zhejiang累计开放AP点数突破478个。网络设施升级为智慧化应用提供强有力的基础支撑，全县城市民生服务的数字化水平稳步提升，“智慧社保”、“智慧城管”和“数字公安”建设成效凸显。我县大力发展智慧交通，分时租赁电动汽车投放运营，开通城市微巴。在全省率先设立涉侨民商事网络法庭，有效破解海外华侨“出庭难”。加快大数据应用普及，为侨乡百姓特别是33万海外华侨提供无距离、无时差的数字化服务。</w:t>
      </w:r>
    </w:p>
    <w:p>
      <w:pPr>
        <w:ind w:firstLine="643" w:firstLineChars="200"/>
        <w:rPr>
          <w:rFonts w:ascii="仿宋" w:hAnsi="仿宋" w:eastAsia="仿宋" w:cs="仿宋"/>
          <w:b/>
          <w:bCs/>
          <w:sz w:val="32"/>
          <w:szCs w:val="32"/>
        </w:rPr>
      </w:pPr>
      <w:r>
        <w:rPr>
          <w:rFonts w:ascii="仿宋" w:hAnsi="仿宋" w:eastAsia="仿宋" w:cs="仿宋"/>
          <w:b/>
          <w:bCs/>
          <w:sz w:val="32"/>
          <w:szCs w:val="32"/>
        </w:rPr>
        <w:t>5</w:t>
      </w:r>
      <w:r>
        <w:rPr>
          <w:rFonts w:hint="eastAsia" w:ascii="仿宋" w:hAnsi="仿宋" w:eastAsia="仿宋" w:cs="仿宋"/>
          <w:b/>
          <w:bCs/>
          <w:sz w:val="32"/>
          <w:szCs w:val="32"/>
        </w:rPr>
        <w:t>、政策环境日益完善，数字化治理水平提升</w:t>
      </w:r>
    </w:p>
    <w:p>
      <w:pPr>
        <w:ind w:firstLine="640" w:firstLineChars="200"/>
        <w:rPr>
          <w:rFonts w:ascii="仿宋" w:hAnsi="仿宋" w:eastAsia="仿宋" w:cs="仿宋"/>
          <w:bCs/>
          <w:sz w:val="32"/>
          <w:szCs w:val="32"/>
        </w:rPr>
      </w:pPr>
      <w:r>
        <w:rPr>
          <w:rFonts w:hint="eastAsia" w:ascii="仿宋" w:hAnsi="仿宋" w:eastAsia="仿宋" w:cs="仿宋"/>
          <w:bCs/>
          <w:sz w:val="32"/>
          <w:szCs w:val="32"/>
        </w:rPr>
        <w:t>青田县委县政府高度重视数字经济发展，先后围绕两化融合、企业上云等数字经济重点领域出台了一系列政策，多次组织网络安全、企业上云、两化融合专家问诊等数字经济系列活动，积极营造良好的创业创新环境。如侨乡投资项目交易中心借鉴“淘宝”模式，线上挂牌项目</w:t>
      </w:r>
      <w:r>
        <w:rPr>
          <w:rFonts w:ascii="仿宋" w:hAnsi="仿宋" w:eastAsia="仿宋" w:cs="仿宋"/>
          <w:bCs/>
          <w:sz w:val="32"/>
          <w:szCs w:val="32"/>
        </w:rPr>
        <w:t>1312</w:t>
      </w:r>
      <w:r>
        <w:rPr>
          <w:rFonts w:hint="eastAsia" w:ascii="仿宋" w:hAnsi="仿宋" w:eastAsia="仿宋" w:cs="仿宋"/>
          <w:bCs/>
          <w:sz w:val="32"/>
          <w:szCs w:val="32"/>
        </w:rPr>
        <w:t>个，总投资额3</w:t>
      </w:r>
      <w:r>
        <w:rPr>
          <w:rFonts w:ascii="仿宋" w:hAnsi="仿宋" w:eastAsia="仿宋" w:cs="仿宋"/>
          <w:bCs/>
          <w:sz w:val="32"/>
          <w:szCs w:val="32"/>
        </w:rPr>
        <w:t>9</w:t>
      </w:r>
      <w:r>
        <w:rPr>
          <w:rFonts w:hint="eastAsia" w:ascii="仿宋" w:hAnsi="仿宋" w:eastAsia="仿宋" w:cs="仿宋"/>
          <w:bCs/>
          <w:sz w:val="32"/>
          <w:szCs w:val="32"/>
        </w:rPr>
        <w:t>00多亿元，以项目超市形式让投资者“到青田，淘项目”。我县持续深化“最多跑一次”改革，积极推动“一网通办、数据共享”，大力推行“网上办”“移动办”，在全省率先开通移动“支付宝”社保缴费，99.7%的民生事项实现“最多跑一次”。</w:t>
      </w:r>
    </w:p>
    <w:p>
      <w:pPr>
        <w:ind w:firstLine="640" w:firstLineChars="200"/>
        <w:rPr>
          <w:rFonts w:ascii="仿宋" w:hAnsi="仿宋" w:eastAsia="仿宋" w:cs="仿宋"/>
          <w:bCs/>
          <w:sz w:val="32"/>
          <w:szCs w:val="32"/>
        </w:rPr>
      </w:pPr>
      <w:r>
        <w:rPr>
          <w:rFonts w:hint="eastAsia" w:ascii="仿宋" w:hAnsi="仿宋" w:eastAsia="仿宋" w:cs="仿宋"/>
          <w:bCs/>
          <w:sz w:val="32"/>
          <w:szCs w:val="32"/>
        </w:rPr>
        <w:t>然而，全县数字经济发展仍然存在一些问题和不足：</w:t>
      </w:r>
      <w:r>
        <w:rPr>
          <w:rFonts w:hint="eastAsia" w:ascii="仿宋" w:hAnsi="仿宋" w:eastAsia="仿宋" w:cs="仿宋"/>
          <w:b/>
          <w:bCs/>
          <w:sz w:val="32"/>
          <w:szCs w:val="32"/>
        </w:rPr>
        <w:t>一是总体发展水平不高，</w:t>
      </w:r>
      <w:r>
        <w:rPr>
          <w:rFonts w:hint="eastAsia" w:ascii="仿宋" w:hAnsi="仿宋" w:eastAsia="仿宋" w:cs="仿宋"/>
          <w:bCs/>
          <w:sz w:val="32"/>
          <w:szCs w:val="32"/>
        </w:rPr>
        <w:t>青田数字经济整体水平位居全省中下游，属于处中等欠发达水平，与发达地区差距较大；</w:t>
      </w:r>
      <w:r>
        <w:rPr>
          <w:rFonts w:hint="eastAsia" w:ascii="仿宋" w:hAnsi="仿宋" w:eastAsia="仿宋" w:cs="仿宋"/>
          <w:b/>
          <w:bCs/>
          <w:sz w:val="32"/>
          <w:szCs w:val="32"/>
        </w:rPr>
        <w:t>二是核心产业规模不大，</w:t>
      </w:r>
      <w:r>
        <w:rPr>
          <w:rFonts w:hint="eastAsia" w:ascii="仿宋" w:hAnsi="仿宋" w:eastAsia="仿宋" w:cs="仿宋"/>
          <w:bCs/>
          <w:sz w:val="32"/>
          <w:szCs w:val="32"/>
        </w:rPr>
        <w:t>产业链不完善，数字经济企业总体规模偏小，数量不足，尤其缺乏软件和信息服务业企业；</w:t>
      </w:r>
      <w:r>
        <w:rPr>
          <w:rFonts w:hint="eastAsia" w:ascii="仿宋" w:hAnsi="仿宋" w:eastAsia="仿宋" w:cs="仿宋"/>
          <w:b/>
          <w:bCs/>
          <w:sz w:val="32"/>
          <w:szCs w:val="32"/>
        </w:rPr>
        <w:t>三是专业数字化人才支撑不足，</w:t>
      </w:r>
      <w:r>
        <w:rPr>
          <w:rFonts w:hint="eastAsia" w:ascii="仿宋" w:hAnsi="仿宋" w:eastAsia="仿宋" w:cs="仿宋"/>
          <w:bCs/>
          <w:sz w:val="32"/>
          <w:szCs w:val="32"/>
        </w:rPr>
        <w:t>受地理位置等因素影响，专业信息技术人才不愿意到青田发展，高端人才招引困难，大部分企业普遍反映缺乏经验丰富的管理人才、软件开发人才等，区域对高水平专业人才的凝聚力弱。</w:t>
      </w:r>
    </w:p>
    <w:p>
      <w:pPr>
        <w:keepNext/>
        <w:keepLines/>
        <w:spacing w:before="120" w:after="120" w:line="360" w:lineRule="auto"/>
        <w:ind w:firstLine="723" w:firstLineChars="200"/>
        <w:outlineLvl w:val="0"/>
        <w:rPr>
          <w:rFonts w:ascii="黑体" w:hAnsi="黑体" w:eastAsia="黑体" w:cs="黑体"/>
          <w:b/>
          <w:bCs/>
          <w:kern w:val="44"/>
          <w:sz w:val="36"/>
          <w:szCs w:val="36"/>
          <w:lang w:val="zh-CN"/>
        </w:rPr>
      </w:pPr>
      <w:bookmarkStart w:id="7" w:name="_Toc14440752"/>
      <w:r>
        <w:rPr>
          <w:rFonts w:hint="eastAsia" w:ascii="黑体" w:hAnsi="黑体" w:eastAsia="黑体" w:cs="黑体"/>
          <w:b/>
          <w:bCs/>
          <w:kern w:val="44"/>
          <w:sz w:val="36"/>
          <w:szCs w:val="36"/>
          <w:lang w:val="zh-CN"/>
        </w:rPr>
        <w:t>二、总体要求和发展目标</w:t>
      </w:r>
      <w:bookmarkEnd w:id="7"/>
    </w:p>
    <w:p>
      <w:pPr>
        <w:spacing w:before="156" w:beforeLines="50"/>
        <w:ind w:firstLine="643" w:firstLineChars="200"/>
        <w:outlineLvl w:val="1"/>
        <w:rPr>
          <w:rFonts w:ascii="楷体" w:hAnsi="楷体" w:eastAsia="楷体" w:cs="楷体"/>
          <w:b/>
          <w:sz w:val="32"/>
          <w:szCs w:val="32"/>
        </w:rPr>
      </w:pPr>
      <w:bookmarkStart w:id="8" w:name="_Toc14440753"/>
      <w:r>
        <w:rPr>
          <w:rFonts w:hint="eastAsia" w:ascii="楷体" w:hAnsi="楷体" w:eastAsia="楷体" w:cs="楷体"/>
          <w:b/>
          <w:sz w:val="32"/>
          <w:szCs w:val="32"/>
        </w:rPr>
        <w:t>（一）指导思想。</w:t>
      </w:r>
      <w:bookmarkEnd w:id="8"/>
    </w:p>
    <w:p>
      <w:pPr>
        <w:ind w:firstLine="640" w:firstLineChars="200"/>
        <w:rPr>
          <w:rFonts w:ascii="仿宋" w:hAnsi="仿宋" w:eastAsia="仿宋" w:cs="仿宋"/>
          <w:b/>
          <w:bCs/>
          <w:sz w:val="32"/>
          <w:szCs w:val="32"/>
        </w:rPr>
      </w:pPr>
      <w:r>
        <w:rPr>
          <w:rFonts w:hint="eastAsia" w:ascii="仿宋" w:hAnsi="仿宋" w:eastAsia="仿宋" w:cs="仿宋"/>
          <w:bCs/>
          <w:sz w:val="32"/>
          <w:szCs w:val="32"/>
        </w:rPr>
        <w:t>以习近平新时代中国特色社会主义思想为指导，全面贯彻党的十九大精神，落实省委省政府数字经济“一号工程”和省十四次党代会、市委八届四次全委会的部署，坚定不移践行“绿水青山就是金山银山”理念，围绕“产业数字化、数字产业化”的发展主线，加快实施生态数字经济发展战略，通过</w:t>
      </w:r>
      <w:r>
        <w:rPr>
          <w:rFonts w:hint="eastAsia" w:ascii="黑体" w:hAnsi="黑体" w:eastAsia="黑体" w:cs="仿宋"/>
          <w:bCs/>
          <w:sz w:val="32"/>
          <w:szCs w:val="32"/>
        </w:rPr>
        <w:t>“六个聚焦”</w:t>
      </w:r>
      <w:r>
        <w:rPr>
          <w:rFonts w:hint="eastAsia" w:ascii="仿宋" w:hAnsi="仿宋" w:eastAsia="仿宋" w:cs="仿宋"/>
          <w:bCs/>
          <w:sz w:val="32"/>
          <w:szCs w:val="32"/>
        </w:rPr>
        <w:t>，深入推进“数字+工业”、“数字+农业”和“数字+服务业”深度融合，培育融合应用新动能，构筑一流的数字经济创业创新新生态，全力打造</w:t>
      </w:r>
      <w:r>
        <w:rPr>
          <w:rFonts w:hint="eastAsia" w:ascii="黑体" w:hAnsi="黑体" w:eastAsia="黑体" w:cs="仿宋"/>
          <w:bCs/>
          <w:sz w:val="32"/>
          <w:szCs w:val="32"/>
        </w:rPr>
        <w:t>“两心两区”</w:t>
      </w:r>
      <w:r>
        <w:rPr>
          <w:rFonts w:hint="eastAsia" w:ascii="仿宋" w:hAnsi="仿宋" w:eastAsia="仿宋" w:cs="仿宋"/>
          <w:bCs/>
          <w:sz w:val="32"/>
          <w:szCs w:val="32"/>
        </w:rPr>
        <w:t>（即</w:t>
      </w:r>
      <w:r>
        <w:rPr>
          <w:rFonts w:hint="eastAsia" w:ascii="仿宋" w:hAnsi="仿宋" w:eastAsia="仿宋" w:cs="仿宋"/>
          <w:b/>
          <w:bCs/>
          <w:sz w:val="32"/>
          <w:szCs w:val="32"/>
        </w:rPr>
        <w:t>全国华侨进口商贸电子商务创业创新中心、全国石雕行业大数据赋能中心、全省工业数字经济示范区和数字化城市服务示范区</w:t>
      </w:r>
      <w:r>
        <w:rPr>
          <w:rFonts w:hint="eastAsia" w:ascii="仿宋" w:hAnsi="仿宋" w:eastAsia="仿宋" w:cs="仿宋"/>
          <w:bCs/>
          <w:sz w:val="32"/>
          <w:szCs w:val="32"/>
        </w:rPr>
        <w:t>），将青田县打造成丽水乃至全省具有鲜明特征的数字经济发展先行区，为加快“两美”青田建设奠定基础。</w:t>
      </w:r>
    </w:p>
    <w:p>
      <w:pPr>
        <w:spacing w:before="156" w:beforeLines="50"/>
        <w:ind w:firstLine="643" w:firstLineChars="200"/>
        <w:outlineLvl w:val="1"/>
        <w:rPr>
          <w:rFonts w:ascii="楷体" w:hAnsi="楷体" w:eastAsia="楷体" w:cs="楷体"/>
          <w:b/>
          <w:sz w:val="32"/>
          <w:szCs w:val="32"/>
        </w:rPr>
      </w:pPr>
      <w:bookmarkStart w:id="9" w:name="_Toc14440754"/>
      <w:r>
        <w:rPr>
          <w:rFonts w:hint="eastAsia" w:ascii="楷体" w:hAnsi="楷体" w:eastAsia="楷体" w:cs="楷体"/>
          <w:b/>
          <w:sz w:val="32"/>
          <w:szCs w:val="32"/>
        </w:rPr>
        <w:t>（二）发展定位。</w:t>
      </w:r>
      <w:bookmarkEnd w:id="9"/>
    </w:p>
    <w:p>
      <w:pPr>
        <w:ind w:firstLine="643" w:firstLineChars="200"/>
        <w:rPr>
          <w:rFonts w:ascii="仿宋" w:hAnsi="仿宋" w:eastAsia="仿宋" w:cs="仿宋"/>
          <w:bCs/>
          <w:sz w:val="32"/>
          <w:szCs w:val="32"/>
        </w:rPr>
      </w:pPr>
      <w:r>
        <w:rPr>
          <w:rFonts w:hint="eastAsia" w:ascii="仿宋" w:hAnsi="仿宋" w:eastAsia="仿宋" w:cs="仿宋"/>
          <w:b/>
          <w:bCs/>
          <w:sz w:val="32"/>
          <w:szCs w:val="32"/>
        </w:rPr>
        <w:t>——全国侨乡进口商贸电子商务创业创新中心。</w:t>
      </w:r>
      <w:r>
        <w:rPr>
          <w:rFonts w:hint="eastAsia" w:ascii="仿宋" w:hAnsi="仿宋" w:eastAsia="仿宋" w:cs="仿宋"/>
          <w:bCs/>
          <w:sz w:val="32"/>
          <w:szCs w:val="32"/>
        </w:rPr>
        <w:t>结合青田侨乡特色，以青田侨乡进口商品城等平台资源为依托，大力发展新零售、服务贸易、农村电商、快递物流等新业态、新模式，打造集商品贸易、平台建设、物流配送、融资支持、实训模拟等多功能、多业态为一体的进口商贸电子商务创新中心，形成以数字贸易为标志的新型贸易体系，使青田成为浙南地区乃至全国以进口商贸为特色的数字贸易创新中心。</w:t>
      </w:r>
    </w:p>
    <w:p>
      <w:pPr>
        <w:ind w:firstLine="643" w:firstLineChars="200"/>
        <w:rPr>
          <w:rFonts w:ascii="仿宋" w:hAnsi="仿宋" w:eastAsia="仿宋" w:cs="仿宋"/>
          <w:bCs/>
          <w:color w:val="FF0000"/>
          <w:sz w:val="32"/>
          <w:szCs w:val="32"/>
        </w:rPr>
      </w:pPr>
      <w:r>
        <w:rPr>
          <w:rFonts w:hint="eastAsia" w:ascii="仿宋" w:hAnsi="仿宋" w:eastAsia="仿宋" w:cs="仿宋"/>
          <w:b/>
          <w:bCs/>
          <w:sz w:val="32"/>
          <w:szCs w:val="32"/>
        </w:rPr>
        <w:t>——全国石雕行业大数据赋能中心。</w:t>
      </w:r>
      <w:r>
        <w:rPr>
          <w:rFonts w:hint="eastAsia" w:ascii="仿宋" w:hAnsi="仿宋" w:eastAsia="仿宋" w:cs="仿宋"/>
          <w:bCs/>
          <w:sz w:val="32"/>
          <w:szCs w:val="32"/>
        </w:rPr>
        <w:t>依托青田石雕良好的产业基础，深入挖掘和整合石雕行业的产品设计、市场客户、营销渠道等数据资源，创新石雕作品立体化采集、3</w:t>
      </w:r>
      <w:r>
        <w:rPr>
          <w:rFonts w:ascii="仿宋" w:hAnsi="仿宋" w:eastAsia="仿宋" w:cs="仿宋"/>
          <w:bCs/>
          <w:sz w:val="32"/>
          <w:szCs w:val="32"/>
        </w:rPr>
        <w:t>D</w:t>
      </w:r>
      <w:r>
        <w:rPr>
          <w:rFonts w:hint="eastAsia" w:ascii="仿宋" w:hAnsi="仿宋" w:eastAsia="仿宋" w:cs="仿宋"/>
          <w:bCs/>
          <w:sz w:val="32"/>
          <w:szCs w:val="32"/>
        </w:rPr>
        <w:t>虚拟展示，建立面向全国的石雕行业的云平台和大数据运营服务中心，形成以数据驱动石雕行业营销的新方式，使青田成为全国石雕行业大数据赋能中心。</w:t>
      </w:r>
    </w:p>
    <w:p>
      <w:pPr>
        <w:ind w:firstLine="643" w:firstLineChars="200"/>
        <w:rPr>
          <w:rFonts w:ascii="仿宋" w:hAnsi="仿宋" w:eastAsia="仿宋" w:cs="仿宋"/>
          <w:bCs/>
          <w:sz w:val="32"/>
          <w:szCs w:val="32"/>
        </w:rPr>
      </w:pPr>
      <w:r>
        <w:rPr>
          <w:rFonts w:hint="eastAsia" w:ascii="仿宋" w:hAnsi="仿宋" w:eastAsia="仿宋" w:cs="仿宋"/>
          <w:b/>
          <w:bCs/>
          <w:sz w:val="32"/>
          <w:szCs w:val="32"/>
        </w:rPr>
        <w:t>——全省工业数字经济示范区。</w:t>
      </w:r>
      <w:r>
        <w:rPr>
          <w:rFonts w:hint="eastAsia" w:ascii="仿宋" w:hAnsi="仿宋" w:eastAsia="仿宋" w:cs="仿宋"/>
          <w:bCs/>
          <w:sz w:val="32"/>
          <w:szCs w:val="32"/>
        </w:rPr>
        <w:t>互联网、大数据、人工智能和青田工业经济深度融合，全县重点产业、规上企业、工业园区及产业集群等实现数字化改造和提升全覆盖，工业互联网基础设施全面升级，培育形成工业数字化服务平台，工业发展质量和效益持续改善，成为全省县域城市工业数字经济发展的典范。</w:t>
      </w:r>
    </w:p>
    <w:p>
      <w:pPr>
        <w:ind w:firstLine="643" w:firstLineChars="200"/>
        <w:rPr>
          <w:rFonts w:ascii="仿宋" w:hAnsi="仿宋" w:eastAsia="仿宋" w:cs="仿宋"/>
          <w:bCs/>
          <w:sz w:val="32"/>
          <w:szCs w:val="32"/>
        </w:rPr>
      </w:pPr>
      <w:r>
        <w:rPr>
          <w:rFonts w:hint="eastAsia" w:ascii="仿宋" w:hAnsi="仿宋" w:eastAsia="仿宋" w:cs="仿宋"/>
          <w:b/>
          <w:bCs/>
          <w:sz w:val="32"/>
          <w:szCs w:val="32"/>
        </w:rPr>
        <w:t>——全省数字化城市服务示范区。</w:t>
      </w:r>
      <w:r>
        <w:rPr>
          <w:rFonts w:hint="eastAsia" w:ascii="仿宋" w:hAnsi="仿宋" w:eastAsia="仿宋" w:cs="仿宋"/>
          <w:bCs/>
          <w:sz w:val="32"/>
          <w:szCs w:val="32"/>
        </w:rPr>
        <w:t>通过实施“数字+”服务普惠行动，数字政府、智慧社保、智慧医疗、智慧城管、智慧菜场等建设深入推进，构建网络全覆盖、数据全共享、服务全过程的数字化服务体系，增强公共服务新供给，全面提升城市服务能级，打造数字化城市服务“青田模式”。</w:t>
      </w:r>
    </w:p>
    <w:p>
      <w:pPr>
        <w:spacing w:before="156" w:beforeLines="50"/>
        <w:ind w:firstLine="643" w:firstLineChars="200"/>
        <w:outlineLvl w:val="1"/>
        <w:rPr>
          <w:rFonts w:ascii="楷体" w:hAnsi="楷体" w:eastAsia="楷体" w:cs="楷体"/>
          <w:b/>
          <w:sz w:val="32"/>
          <w:szCs w:val="32"/>
        </w:rPr>
      </w:pPr>
      <w:bookmarkStart w:id="10" w:name="_Toc14440755"/>
      <w:r>
        <w:rPr>
          <w:rFonts w:hint="eastAsia" w:ascii="楷体" w:hAnsi="楷体" w:eastAsia="楷体" w:cs="楷体"/>
          <w:b/>
          <w:sz w:val="32"/>
          <w:szCs w:val="32"/>
        </w:rPr>
        <w:t>（三）主要目标。</w:t>
      </w:r>
      <w:bookmarkEnd w:id="10"/>
    </w:p>
    <w:p>
      <w:pPr>
        <w:ind w:firstLine="640" w:firstLineChars="200"/>
        <w:rPr>
          <w:rFonts w:ascii="仿宋" w:hAnsi="仿宋" w:eastAsia="仿宋" w:cs="仿宋"/>
          <w:bCs/>
          <w:sz w:val="32"/>
          <w:szCs w:val="32"/>
        </w:rPr>
      </w:pPr>
      <w:r>
        <w:rPr>
          <w:rFonts w:hint="eastAsia" w:ascii="仿宋" w:hAnsi="仿宋" w:eastAsia="仿宋" w:cs="仿宋"/>
          <w:bCs/>
          <w:sz w:val="32"/>
          <w:szCs w:val="32"/>
        </w:rPr>
        <w:t>到2022年，全县数字经济发展水平明显提高，数字经济在全县经济中的主导地位日益突出，智能制造、跨境电商、行业大数据和数字化城市服务等领域形成特色和优势，全县数字经济总量占GDP比重超过</w:t>
      </w:r>
      <w:r>
        <w:rPr>
          <w:rFonts w:ascii="仿宋" w:hAnsi="仿宋" w:eastAsia="仿宋" w:cs="仿宋"/>
          <w:bCs/>
          <w:sz w:val="32"/>
          <w:szCs w:val="32"/>
        </w:rPr>
        <w:t>40</w:t>
      </w:r>
      <w:r>
        <w:rPr>
          <w:rFonts w:hint="eastAsia" w:ascii="仿宋" w:hAnsi="仿宋" w:eastAsia="仿宋" w:cs="仿宋"/>
          <w:bCs/>
          <w:sz w:val="32"/>
          <w:szCs w:val="32"/>
        </w:rPr>
        <w:t>%以上，基本建成“</w:t>
      </w:r>
      <w:r>
        <w:rPr>
          <w:rFonts w:hint="eastAsia" w:ascii="黑体" w:hAnsi="黑体" w:eastAsia="黑体" w:cs="仿宋"/>
          <w:bCs/>
          <w:sz w:val="32"/>
          <w:szCs w:val="32"/>
        </w:rPr>
        <w:t>两心两区</w:t>
      </w:r>
      <w:r>
        <w:rPr>
          <w:rFonts w:hint="eastAsia" w:ascii="仿宋" w:hAnsi="仿宋" w:eastAsia="仿宋" w:cs="仿宋"/>
          <w:bCs/>
          <w:sz w:val="32"/>
          <w:szCs w:val="32"/>
        </w:rPr>
        <w:t>”，成为全省数字经济发展先行区。</w:t>
      </w:r>
    </w:p>
    <w:p>
      <w:pPr>
        <w:jc w:val="center"/>
        <w:rPr>
          <w:rFonts w:ascii="黑体" w:eastAsia="黑体"/>
          <w:sz w:val="28"/>
          <w:szCs w:val="28"/>
        </w:rPr>
      </w:pPr>
      <w:r>
        <w:rPr>
          <w:rFonts w:hint="eastAsia" w:ascii="黑体" w:eastAsia="黑体"/>
          <w:sz w:val="28"/>
          <w:szCs w:val="28"/>
        </w:rPr>
        <w:t>表1：青田县数字经济发展的主要指标表</w:t>
      </w:r>
    </w:p>
    <w:tbl>
      <w:tblPr>
        <w:tblStyle w:val="18"/>
        <w:tblW w:w="84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49"/>
        <w:gridCol w:w="3429"/>
        <w:gridCol w:w="1420"/>
        <w:gridCol w:w="142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0" w:hRule="atLeast"/>
          <w:tblHeader/>
          <w:jc w:val="center"/>
        </w:trPr>
        <w:tc>
          <w:tcPr>
            <w:tcW w:w="749" w:type="dxa"/>
            <w:tcBorders>
              <w:top w:val="single" w:color="auto" w:sz="12" w:space="0"/>
              <w:left w:val="nil"/>
            </w:tcBorders>
            <w:vAlign w:val="center"/>
          </w:tcPr>
          <w:p>
            <w:pPr>
              <w:spacing w:line="280" w:lineRule="exact"/>
              <w:jc w:val="center"/>
              <w:rPr>
                <w:rFonts w:ascii="宋体" w:hAnsi="宋体"/>
                <w:b/>
                <w:sz w:val="24"/>
              </w:rPr>
            </w:pPr>
            <w:r>
              <w:rPr>
                <w:rFonts w:hint="eastAsia" w:ascii="宋体" w:hAnsi="宋体"/>
                <w:b/>
                <w:sz w:val="24"/>
              </w:rPr>
              <w:t>类别</w:t>
            </w:r>
          </w:p>
        </w:tc>
        <w:tc>
          <w:tcPr>
            <w:tcW w:w="3429" w:type="dxa"/>
            <w:tcBorders>
              <w:top w:val="single" w:color="auto" w:sz="12" w:space="0"/>
            </w:tcBorders>
            <w:vAlign w:val="center"/>
          </w:tcPr>
          <w:p>
            <w:pPr>
              <w:spacing w:line="280" w:lineRule="exact"/>
              <w:jc w:val="center"/>
              <w:rPr>
                <w:rFonts w:ascii="宋体" w:hAnsi="宋体"/>
                <w:b/>
                <w:sz w:val="24"/>
              </w:rPr>
            </w:pPr>
            <w:r>
              <w:rPr>
                <w:rFonts w:ascii="宋体" w:hAnsi="宋体"/>
                <w:b/>
                <w:sz w:val="24"/>
              </w:rPr>
              <w:t>指标</w:t>
            </w:r>
          </w:p>
        </w:tc>
        <w:tc>
          <w:tcPr>
            <w:tcW w:w="1420" w:type="dxa"/>
            <w:tcBorders>
              <w:top w:val="single" w:color="auto" w:sz="12" w:space="0"/>
            </w:tcBorders>
            <w:vAlign w:val="center"/>
          </w:tcPr>
          <w:p>
            <w:pPr>
              <w:spacing w:line="280" w:lineRule="exact"/>
              <w:jc w:val="center"/>
              <w:rPr>
                <w:rFonts w:ascii="宋体" w:hAnsi="宋体"/>
                <w:b/>
                <w:sz w:val="24"/>
              </w:rPr>
            </w:pPr>
            <w:r>
              <w:rPr>
                <w:rFonts w:ascii="宋体" w:hAnsi="宋体"/>
                <w:b/>
                <w:sz w:val="24"/>
              </w:rPr>
              <w:t>201</w:t>
            </w:r>
            <w:r>
              <w:rPr>
                <w:rFonts w:hint="eastAsia" w:ascii="宋体" w:hAnsi="宋体"/>
                <w:b/>
                <w:sz w:val="24"/>
              </w:rPr>
              <w:t>7</w:t>
            </w:r>
            <w:r>
              <w:rPr>
                <w:rFonts w:ascii="宋体" w:hAnsi="宋体"/>
                <w:b/>
                <w:sz w:val="24"/>
              </w:rPr>
              <w:t>年</w:t>
            </w:r>
          </w:p>
        </w:tc>
        <w:tc>
          <w:tcPr>
            <w:tcW w:w="1420" w:type="dxa"/>
            <w:tcBorders>
              <w:top w:val="single" w:color="auto" w:sz="12" w:space="0"/>
            </w:tcBorders>
            <w:vAlign w:val="center"/>
          </w:tcPr>
          <w:p>
            <w:pPr>
              <w:spacing w:line="280" w:lineRule="exact"/>
              <w:jc w:val="center"/>
              <w:rPr>
                <w:rFonts w:ascii="宋体" w:hAnsi="宋体"/>
                <w:b/>
                <w:sz w:val="24"/>
              </w:rPr>
            </w:pPr>
            <w:r>
              <w:rPr>
                <w:rFonts w:ascii="宋体" w:hAnsi="宋体"/>
                <w:b/>
                <w:sz w:val="24"/>
              </w:rPr>
              <w:t>2020年</w:t>
            </w:r>
          </w:p>
        </w:tc>
        <w:tc>
          <w:tcPr>
            <w:tcW w:w="1413" w:type="dxa"/>
            <w:tcBorders>
              <w:top w:val="single" w:color="auto" w:sz="12" w:space="0"/>
              <w:right w:val="nil"/>
            </w:tcBorders>
            <w:vAlign w:val="center"/>
          </w:tcPr>
          <w:p>
            <w:pPr>
              <w:spacing w:line="280" w:lineRule="exact"/>
              <w:jc w:val="center"/>
              <w:rPr>
                <w:rFonts w:ascii="宋体" w:hAnsi="宋体"/>
                <w:b/>
                <w:sz w:val="24"/>
              </w:rPr>
            </w:pPr>
            <w:r>
              <w:rPr>
                <w:rFonts w:ascii="宋体" w:hAnsi="宋体"/>
                <w:b/>
                <w:sz w:val="24"/>
              </w:rPr>
              <w:t>202</w:t>
            </w:r>
            <w:r>
              <w:rPr>
                <w:rFonts w:hint="eastAsia" w:ascii="宋体" w:hAnsi="宋体"/>
                <w:b/>
                <w:sz w:val="24"/>
              </w:rPr>
              <w:t>2</w:t>
            </w:r>
            <w:r>
              <w:rPr>
                <w:rFonts w:ascii="宋体" w:hAnsi="宋体"/>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8" w:hRule="atLeast"/>
          <w:jc w:val="center"/>
        </w:trPr>
        <w:tc>
          <w:tcPr>
            <w:tcW w:w="749" w:type="dxa"/>
            <w:vMerge w:val="restart"/>
            <w:tcBorders>
              <w:left w:val="nil"/>
            </w:tcBorders>
            <w:vAlign w:val="center"/>
          </w:tcPr>
          <w:p>
            <w:pPr>
              <w:jc w:val="center"/>
              <w:rPr>
                <w:rFonts w:ascii="宋体" w:hAnsi="宋体"/>
                <w:sz w:val="24"/>
              </w:rPr>
            </w:pPr>
            <w:r>
              <w:rPr>
                <w:rFonts w:hint="eastAsia" w:ascii="宋体" w:hAnsi="宋体"/>
                <w:sz w:val="24"/>
              </w:rPr>
              <w:t>数字基础设施</w:t>
            </w:r>
          </w:p>
        </w:tc>
        <w:tc>
          <w:tcPr>
            <w:tcW w:w="3429" w:type="dxa"/>
            <w:vAlign w:val="center"/>
          </w:tcPr>
          <w:p>
            <w:pPr>
              <w:rPr>
                <w:rFonts w:ascii="宋体" w:hAnsi="宋体"/>
                <w:sz w:val="24"/>
              </w:rPr>
            </w:pPr>
            <w:r>
              <w:rPr>
                <w:rFonts w:hint="eastAsia" w:ascii="宋体" w:hAnsi="宋体"/>
                <w:sz w:val="24"/>
              </w:rPr>
              <w:t>城域网出口宽带（Gbps）</w:t>
            </w:r>
          </w:p>
        </w:tc>
        <w:tc>
          <w:tcPr>
            <w:tcW w:w="1420" w:type="dxa"/>
            <w:vAlign w:val="center"/>
          </w:tcPr>
          <w:p>
            <w:pPr>
              <w:jc w:val="center"/>
              <w:rPr>
                <w:rFonts w:ascii="宋体" w:hAnsi="宋体"/>
                <w:sz w:val="24"/>
              </w:rPr>
            </w:pPr>
            <w:r>
              <w:rPr>
                <w:rFonts w:hint="eastAsia" w:ascii="宋体" w:hAnsi="宋体"/>
                <w:sz w:val="24"/>
              </w:rPr>
              <w:t>799.04</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1063.52</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1286.86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5" w:hRule="atLeast"/>
          <w:jc w:val="center"/>
        </w:trPr>
        <w:tc>
          <w:tcPr>
            <w:tcW w:w="749" w:type="dxa"/>
            <w:vMerge w:val="continue"/>
            <w:tcBorders>
              <w:left w:val="nil"/>
            </w:tcBorders>
            <w:vAlign w:val="center"/>
          </w:tcPr>
          <w:p>
            <w:pPr>
              <w:jc w:val="center"/>
              <w:rPr>
                <w:rFonts w:ascii="宋体" w:hAnsi="宋体"/>
                <w:sz w:val="24"/>
              </w:rPr>
            </w:pPr>
          </w:p>
        </w:tc>
        <w:tc>
          <w:tcPr>
            <w:tcW w:w="3429" w:type="dxa"/>
            <w:vAlign w:val="center"/>
          </w:tcPr>
          <w:p>
            <w:pPr>
              <w:rPr>
                <w:rFonts w:ascii="宋体" w:hAnsi="宋体"/>
                <w:sz w:val="24"/>
              </w:rPr>
            </w:pPr>
            <w:r>
              <w:rPr>
                <w:rFonts w:hint="eastAsia" w:ascii="宋体" w:hAnsi="宋体"/>
                <w:sz w:val="24"/>
              </w:rPr>
              <w:t>固定宽带端口平均速率（Mbps）</w:t>
            </w:r>
          </w:p>
        </w:tc>
        <w:tc>
          <w:tcPr>
            <w:tcW w:w="1420" w:type="dxa"/>
            <w:vAlign w:val="center"/>
          </w:tcPr>
          <w:p>
            <w:pPr>
              <w:jc w:val="center"/>
              <w:rPr>
                <w:rFonts w:ascii="宋体" w:hAnsi="宋体"/>
                <w:sz w:val="24"/>
              </w:rPr>
            </w:pPr>
            <w:r>
              <w:rPr>
                <w:rFonts w:hint="eastAsia" w:ascii="宋体" w:hAnsi="宋体"/>
                <w:sz w:val="24"/>
              </w:rPr>
              <w:t>144.00</w:t>
            </w:r>
          </w:p>
        </w:tc>
        <w:tc>
          <w:tcPr>
            <w:tcW w:w="1420" w:type="dxa"/>
            <w:vAlign w:val="center"/>
          </w:tcPr>
          <w:p>
            <w:pPr>
              <w:widowControl/>
              <w:jc w:val="center"/>
              <w:textAlignment w:val="center"/>
              <w:rPr>
                <w:rFonts w:ascii="宋体" w:hAnsi="宋体"/>
                <w:sz w:val="24"/>
              </w:rPr>
            </w:pPr>
            <w:r>
              <w:rPr>
                <w:rFonts w:ascii="宋体" w:hAnsi="宋体" w:cs="宋体"/>
                <w:kern w:val="0"/>
                <w:sz w:val="24"/>
                <w:szCs w:val="24"/>
                <w:lang w:bidi="ar"/>
              </w:rPr>
              <w:t>300</w:t>
            </w:r>
          </w:p>
        </w:tc>
        <w:tc>
          <w:tcPr>
            <w:tcW w:w="1413" w:type="dxa"/>
            <w:tcBorders>
              <w:right w:val="nil"/>
            </w:tcBorders>
            <w:vAlign w:val="center"/>
          </w:tcPr>
          <w:p>
            <w:pPr>
              <w:widowControl/>
              <w:jc w:val="center"/>
              <w:textAlignment w:val="center"/>
              <w:rPr>
                <w:rFonts w:ascii="宋体" w:hAnsi="宋体"/>
                <w:sz w:val="24"/>
              </w:rPr>
            </w:pPr>
            <w:r>
              <w:rPr>
                <w:rFonts w:ascii="宋体" w:hAnsi="宋体" w:cs="宋体"/>
                <w:kern w:val="0"/>
                <w:sz w:val="24"/>
                <w:szCs w:val="24"/>
                <w:lang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1" w:hRule="atLeast"/>
          <w:jc w:val="center"/>
        </w:trPr>
        <w:tc>
          <w:tcPr>
            <w:tcW w:w="749" w:type="dxa"/>
            <w:vMerge w:val="continue"/>
            <w:tcBorders>
              <w:left w:val="nil"/>
            </w:tcBorders>
            <w:vAlign w:val="center"/>
          </w:tcPr>
          <w:p>
            <w:pPr>
              <w:jc w:val="center"/>
              <w:rPr>
                <w:rFonts w:ascii="宋体" w:hAnsi="宋体"/>
                <w:sz w:val="24"/>
              </w:rPr>
            </w:pPr>
          </w:p>
        </w:tc>
        <w:tc>
          <w:tcPr>
            <w:tcW w:w="3429" w:type="dxa"/>
            <w:vAlign w:val="center"/>
          </w:tcPr>
          <w:p>
            <w:pPr>
              <w:rPr>
                <w:rFonts w:ascii="宋体" w:hAnsi="宋体"/>
                <w:sz w:val="24"/>
              </w:rPr>
            </w:pPr>
            <w:r>
              <w:rPr>
                <w:rFonts w:hint="eastAsia" w:ascii="宋体" w:hAnsi="宋体"/>
                <w:sz w:val="24"/>
              </w:rPr>
              <w:t>每平方公里拥有移动电话基站数量（个/平方公里）</w:t>
            </w:r>
          </w:p>
        </w:tc>
        <w:tc>
          <w:tcPr>
            <w:tcW w:w="1420" w:type="dxa"/>
            <w:vAlign w:val="center"/>
          </w:tcPr>
          <w:p>
            <w:pPr>
              <w:jc w:val="center"/>
              <w:rPr>
                <w:rFonts w:ascii="宋体" w:hAnsi="宋体"/>
                <w:sz w:val="24"/>
              </w:rPr>
            </w:pPr>
            <w:r>
              <w:rPr>
                <w:rFonts w:hint="eastAsia" w:ascii="宋体" w:hAnsi="宋体"/>
                <w:sz w:val="24"/>
              </w:rPr>
              <w:t>1.06</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2.6</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8" w:hRule="atLeast"/>
          <w:jc w:val="center"/>
        </w:trPr>
        <w:tc>
          <w:tcPr>
            <w:tcW w:w="749" w:type="dxa"/>
            <w:vMerge w:val="continue"/>
            <w:tcBorders>
              <w:left w:val="nil"/>
            </w:tcBorders>
            <w:vAlign w:val="center"/>
          </w:tcPr>
          <w:p>
            <w:pPr>
              <w:jc w:val="center"/>
              <w:rPr>
                <w:rFonts w:ascii="宋体" w:hAnsi="宋体"/>
                <w:sz w:val="24"/>
              </w:rPr>
            </w:pPr>
          </w:p>
        </w:tc>
        <w:tc>
          <w:tcPr>
            <w:tcW w:w="3429" w:type="dxa"/>
            <w:vAlign w:val="center"/>
          </w:tcPr>
          <w:p>
            <w:pPr>
              <w:rPr>
                <w:rFonts w:ascii="宋体" w:hAnsi="宋体"/>
                <w:sz w:val="24"/>
              </w:rPr>
            </w:pPr>
            <w:r>
              <w:rPr>
                <w:rFonts w:hint="eastAsia" w:ascii="宋体" w:hAnsi="宋体"/>
                <w:sz w:val="24"/>
              </w:rPr>
              <w:t>移动互联网普及率</w:t>
            </w:r>
            <w:r>
              <w:rPr>
                <w:sz w:val="24"/>
                <w:szCs w:val="28"/>
              </w:rPr>
              <w:t>（户/百人）</w:t>
            </w:r>
          </w:p>
        </w:tc>
        <w:tc>
          <w:tcPr>
            <w:tcW w:w="1420" w:type="dxa"/>
            <w:vAlign w:val="center"/>
          </w:tcPr>
          <w:p>
            <w:pPr>
              <w:jc w:val="center"/>
              <w:rPr>
                <w:rFonts w:ascii="宋体" w:hAnsi="宋体"/>
                <w:sz w:val="24"/>
              </w:rPr>
            </w:pPr>
            <w:r>
              <w:rPr>
                <w:rFonts w:hint="eastAsia" w:ascii="宋体" w:hAnsi="宋体"/>
                <w:sz w:val="24"/>
              </w:rPr>
              <w:t>83.10</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90</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7" w:hRule="atLeast"/>
          <w:jc w:val="center"/>
        </w:trPr>
        <w:tc>
          <w:tcPr>
            <w:tcW w:w="749" w:type="dxa"/>
            <w:vMerge w:val="continue"/>
            <w:tcBorders>
              <w:left w:val="nil"/>
            </w:tcBorders>
            <w:vAlign w:val="center"/>
          </w:tcPr>
          <w:p>
            <w:pPr>
              <w:jc w:val="center"/>
              <w:rPr>
                <w:rFonts w:ascii="宋体" w:hAnsi="宋体"/>
                <w:sz w:val="24"/>
              </w:rPr>
            </w:pPr>
          </w:p>
        </w:tc>
        <w:tc>
          <w:tcPr>
            <w:tcW w:w="3429" w:type="dxa"/>
            <w:vAlign w:val="center"/>
          </w:tcPr>
          <w:p>
            <w:pPr>
              <w:rPr>
                <w:rFonts w:ascii="宋体" w:hAnsi="宋体"/>
                <w:sz w:val="24"/>
              </w:rPr>
            </w:pPr>
            <w:r>
              <w:rPr>
                <w:rFonts w:hint="eastAsia" w:ascii="宋体" w:hAnsi="宋体"/>
                <w:sz w:val="24"/>
              </w:rPr>
              <w:t>付费数字电视普及率(含IPTV，户/百户)</w:t>
            </w:r>
          </w:p>
        </w:tc>
        <w:tc>
          <w:tcPr>
            <w:tcW w:w="1420" w:type="dxa"/>
            <w:vAlign w:val="center"/>
          </w:tcPr>
          <w:p>
            <w:pPr>
              <w:jc w:val="center"/>
              <w:rPr>
                <w:rFonts w:ascii="宋体" w:hAnsi="宋体"/>
                <w:sz w:val="24"/>
              </w:rPr>
            </w:pPr>
            <w:r>
              <w:rPr>
                <w:rFonts w:hint="eastAsia" w:ascii="宋体" w:hAnsi="宋体"/>
                <w:sz w:val="24"/>
              </w:rPr>
              <w:t>25.19</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55.34</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93.53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1" w:hRule="atLeast"/>
          <w:jc w:val="center"/>
        </w:trPr>
        <w:tc>
          <w:tcPr>
            <w:tcW w:w="749" w:type="dxa"/>
            <w:vMerge w:val="restart"/>
            <w:tcBorders>
              <w:left w:val="nil"/>
            </w:tcBorders>
            <w:vAlign w:val="center"/>
          </w:tcPr>
          <w:p>
            <w:pPr>
              <w:jc w:val="center"/>
              <w:rPr>
                <w:rFonts w:ascii="宋体" w:hAnsi="宋体"/>
                <w:sz w:val="24"/>
              </w:rPr>
            </w:pPr>
            <w:r>
              <w:rPr>
                <w:rFonts w:hint="eastAsia" w:ascii="宋体" w:hAnsi="宋体"/>
                <w:sz w:val="24"/>
              </w:rPr>
              <w:t>数字</w:t>
            </w:r>
            <w:r>
              <w:rPr>
                <w:rFonts w:ascii="宋体" w:hAnsi="宋体"/>
                <w:sz w:val="24"/>
              </w:rPr>
              <w:t>产业化</w:t>
            </w:r>
          </w:p>
        </w:tc>
        <w:tc>
          <w:tcPr>
            <w:tcW w:w="3429" w:type="dxa"/>
            <w:vAlign w:val="center"/>
          </w:tcPr>
          <w:p>
            <w:pPr>
              <w:rPr>
                <w:rFonts w:ascii="宋体" w:hAnsi="宋体"/>
                <w:sz w:val="24"/>
              </w:rPr>
            </w:pPr>
            <w:r>
              <w:rPr>
                <w:rFonts w:hint="eastAsia" w:ascii="宋体" w:hAnsi="宋体"/>
                <w:sz w:val="24"/>
              </w:rPr>
              <w:t>数字经济核心产业R&amp;D经费相当于营业收入比重（%）</w:t>
            </w:r>
          </w:p>
        </w:tc>
        <w:tc>
          <w:tcPr>
            <w:tcW w:w="1420" w:type="dxa"/>
            <w:vAlign w:val="center"/>
          </w:tcPr>
          <w:p>
            <w:pPr>
              <w:jc w:val="center"/>
              <w:rPr>
                <w:rFonts w:ascii="宋体" w:hAnsi="宋体"/>
                <w:sz w:val="24"/>
              </w:rPr>
            </w:pPr>
            <w:r>
              <w:rPr>
                <w:rFonts w:hint="eastAsia" w:ascii="宋体" w:hAnsi="宋体"/>
                <w:sz w:val="24"/>
              </w:rPr>
              <w:t>1.63</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2.445</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1" w:hRule="atLeast"/>
          <w:jc w:val="center"/>
        </w:trPr>
        <w:tc>
          <w:tcPr>
            <w:tcW w:w="749" w:type="dxa"/>
            <w:vMerge w:val="continue"/>
            <w:tcBorders>
              <w:left w:val="nil"/>
            </w:tcBorders>
            <w:vAlign w:val="center"/>
          </w:tcPr>
          <w:p>
            <w:pPr>
              <w:jc w:val="center"/>
              <w:rPr>
                <w:rFonts w:ascii="宋体" w:hAnsi="宋体"/>
                <w:sz w:val="24"/>
              </w:rPr>
            </w:pPr>
          </w:p>
        </w:tc>
        <w:tc>
          <w:tcPr>
            <w:tcW w:w="3429" w:type="dxa"/>
            <w:vAlign w:val="center"/>
          </w:tcPr>
          <w:p>
            <w:pPr>
              <w:rPr>
                <w:rFonts w:ascii="宋体" w:hAnsi="宋体"/>
                <w:sz w:val="24"/>
              </w:rPr>
            </w:pPr>
            <w:r>
              <w:rPr>
                <w:rFonts w:hint="eastAsia" w:ascii="宋体" w:hAnsi="宋体"/>
                <w:sz w:val="24"/>
              </w:rPr>
              <w:t>数字经济核心产业制造业新产品产值率（</w:t>
            </w:r>
            <w:r>
              <w:rPr>
                <w:rFonts w:ascii="宋体" w:hAnsi="宋体"/>
                <w:sz w:val="24"/>
              </w:rPr>
              <w:t>%</w:t>
            </w:r>
            <w:r>
              <w:rPr>
                <w:rFonts w:hint="eastAsia" w:ascii="宋体" w:hAnsi="宋体"/>
                <w:sz w:val="24"/>
              </w:rPr>
              <w:t>）</w:t>
            </w:r>
          </w:p>
        </w:tc>
        <w:tc>
          <w:tcPr>
            <w:tcW w:w="1420" w:type="dxa"/>
            <w:vAlign w:val="center"/>
          </w:tcPr>
          <w:p>
            <w:pPr>
              <w:jc w:val="center"/>
              <w:rPr>
                <w:rFonts w:ascii="宋体" w:hAnsi="宋体"/>
                <w:sz w:val="24"/>
              </w:rPr>
            </w:pPr>
            <w:r>
              <w:rPr>
                <w:rFonts w:hint="eastAsia" w:ascii="宋体" w:hAnsi="宋体"/>
                <w:sz w:val="24"/>
              </w:rPr>
              <w:t>52.24</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60.47</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1" w:hRule="atLeast"/>
          <w:jc w:val="center"/>
        </w:trPr>
        <w:tc>
          <w:tcPr>
            <w:tcW w:w="749" w:type="dxa"/>
            <w:vMerge w:val="continue"/>
            <w:tcBorders>
              <w:left w:val="nil"/>
            </w:tcBorders>
            <w:vAlign w:val="center"/>
          </w:tcPr>
          <w:p>
            <w:pPr>
              <w:jc w:val="center"/>
              <w:rPr>
                <w:rFonts w:ascii="宋体" w:hAnsi="宋体"/>
                <w:sz w:val="24"/>
              </w:rPr>
            </w:pPr>
          </w:p>
        </w:tc>
        <w:tc>
          <w:tcPr>
            <w:tcW w:w="3429" w:type="dxa"/>
            <w:vAlign w:val="center"/>
          </w:tcPr>
          <w:p>
            <w:pPr>
              <w:rPr>
                <w:rFonts w:ascii="宋体" w:hAnsi="宋体"/>
                <w:sz w:val="24"/>
              </w:rPr>
            </w:pPr>
            <w:r>
              <w:rPr>
                <w:rFonts w:hint="eastAsia" w:ascii="宋体" w:hAnsi="宋体"/>
                <w:sz w:val="24"/>
              </w:rPr>
              <w:t>数字经济核心产业增加值占GDP的比例（</w:t>
            </w:r>
            <w:r>
              <w:rPr>
                <w:rFonts w:ascii="宋体" w:hAnsi="宋体"/>
                <w:sz w:val="24"/>
              </w:rPr>
              <w:t>%</w:t>
            </w:r>
            <w:r>
              <w:rPr>
                <w:rFonts w:hint="eastAsia" w:ascii="宋体" w:hAnsi="宋体"/>
                <w:sz w:val="24"/>
              </w:rPr>
              <w:t>）</w:t>
            </w:r>
          </w:p>
        </w:tc>
        <w:tc>
          <w:tcPr>
            <w:tcW w:w="1420" w:type="dxa"/>
            <w:vAlign w:val="center"/>
          </w:tcPr>
          <w:p>
            <w:pPr>
              <w:jc w:val="center"/>
              <w:rPr>
                <w:rFonts w:ascii="宋体" w:hAnsi="宋体"/>
                <w:sz w:val="24"/>
              </w:rPr>
            </w:pPr>
            <w:r>
              <w:rPr>
                <w:rFonts w:hint="eastAsia" w:ascii="宋体" w:hAnsi="宋体"/>
                <w:sz w:val="24"/>
              </w:rPr>
              <w:t>3.62</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4.37</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1" w:hRule="atLeast"/>
          <w:jc w:val="center"/>
        </w:trPr>
        <w:tc>
          <w:tcPr>
            <w:tcW w:w="749" w:type="dxa"/>
            <w:vMerge w:val="continue"/>
            <w:tcBorders>
              <w:left w:val="nil"/>
            </w:tcBorders>
            <w:vAlign w:val="center"/>
          </w:tcPr>
          <w:p>
            <w:pPr>
              <w:jc w:val="center"/>
              <w:rPr>
                <w:rFonts w:ascii="宋体" w:hAnsi="宋体"/>
                <w:sz w:val="24"/>
              </w:rPr>
            </w:pPr>
          </w:p>
        </w:tc>
        <w:tc>
          <w:tcPr>
            <w:tcW w:w="3429" w:type="dxa"/>
            <w:vAlign w:val="center"/>
          </w:tcPr>
          <w:p>
            <w:pPr>
              <w:rPr>
                <w:rFonts w:ascii="宋体" w:hAnsi="宋体"/>
                <w:sz w:val="24"/>
              </w:rPr>
            </w:pPr>
            <w:r>
              <w:rPr>
                <w:rFonts w:hint="eastAsia" w:ascii="宋体" w:hAnsi="宋体"/>
                <w:sz w:val="24"/>
              </w:rPr>
              <w:t>数字经济核心产业劳动生产率（万元/人）</w:t>
            </w:r>
          </w:p>
        </w:tc>
        <w:tc>
          <w:tcPr>
            <w:tcW w:w="1420" w:type="dxa"/>
            <w:vAlign w:val="center"/>
          </w:tcPr>
          <w:p>
            <w:pPr>
              <w:jc w:val="center"/>
              <w:rPr>
                <w:rFonts w:ascii="宋体" w:hAnsi="宋体"/>
                <w:sz w:val="24"/>
              </w:rPr>
            </w:pPr>
            <w:r>
              <w:rPr>
                <w:rFonts w:hint="eastAsia" w:ascii="宋体" w:hAnsi="宋体"/>
                <w:sz w:val="24"/>
              </w:rPr>
              <w:t>13.27</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20.18</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26.69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1" w:hRule="atLeast"/>
          <w:jc w:val="center"/>
        </w:trPr>
        <w:tc>
          <w:tcPr>
            <w:tcW w:w="749" w:type="dxa"/>
            <w:vMerge w:val="restart"/>
            <w:tcBorders>
              <w:left w:val="nil"/>
            </w:tcBorders>
            <w:vAlign w:val="center"/>
          </w:tcPr>
          <w:p>
            <w:pPr>
              <w:jc w:val="center"/>
              <w:rPr>
                <w:rFonts w:ascii="宋体" w:hAnsi="宋体"/>
                <w:sz w:val="24"/>
              </w:rPr>
            </w:pPr>
            <w:r>
              <w:rPr>
                <w:rFonts w:hint="eastAsia" w:ascii="宋体" w:hAnsi="宋体"/>
                <w:sz w:val="24"/>
              </w:rPr>
              <w:t>产业</w:t>
            </w:r>
            <w:r>
              <w:rPr>
                <w:rFonts w:ascii="宋体" w:hAnsi="宋体"/>
                <w:sz w:val="24"/>
              </w:rPr>
              <w:t>数字化</w:t>
            </w:r>
          </w:p>
        </w:tc>
        <w:tc>
          <w:tcPr>
            <w:tcW w:w="3429" w:type="dxa"/>
          </w:tcPr>
          <w:p>
            <w:pPr>
              <w:rPr>
                <w:rFonts w:ascii="宋体" w:hAnsi="宋体"/>
                <w:sz w:val="24"/>
              </w:rPr>
            </w:pPr>
            <w:r>
              <w:rPr>
                <w:rFonts w:hint="eastAsia" w:ascii="宋体" w:hAnsi="宋体"/>
                <w:sz w:val="24"/>
              </w:rPr>
              <w:t>信息化投入占营业收入比例（%）</w:t>
            </w:r>
          </w:p>
        </w:tc>
        <w:tc>
          <w:tcPr>
            <w:tcW w:w="1420" w:type="dxa"/>
            <w:vAlign w:val="center"/>
          </w:tcPr>
          <w:p>
            <w:pPr>
              <w:jc w:val="center"/>
              <w:rPr>
                <w:rFonts w:ascii="宋体" w:hAnsi="宋体"/>
                <w:sz w:val="24"/>
              </w:rPr>
            </w:pPr>
            <w:r>
              <w:rPr>
                <w:rFonts w:hint="eastAsia" w:ascii="宋体" w:hAnsi="宋体"/>
                <w:sz w:val="24"/>
              </w:rPr>
              <w:t>0.20</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0.3</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jc w:val="center"/>
        </w:trPr>
        <w:tc>
          <w:tcPr>
            <w:tcW w:w="749" w:type="dxa"/>
            <w:vMerge w:val="continue"/>
            <w:tcBorders>
              <w:left w:val="nil"/>
            </w:tcBorders>
            <w:vAlign w:val="center"/>
          </w:tcPr>
          <w:p>
            <w:pPr>
              <w:jc w:val="center"/>
              <w:rPr>
                <w:rFonts w:ascii="宋体" w:hAnsi="宋体"/>
                <w:sz w:val="24"/>
              </w:rPr>
            </w:pPr>
          </w:p>
        </w:tc>
        <w:tc>
          <w:tcPr>
            <w:tcW w:w="3429" w:type="dxa"/>
            <w:vAlign w:val="center"/>
          </w:tcPr>
          <w:p>
            <w:pPr>
              <w:rPr>
                <w:rFonts w:ascii="宋体" w:hAnsi="宋体"/>
                <w:sz w:val="24"/>
              </w:rPr>
            </w:pPr>
            <w:r>
              <w:rPr>
                <w:rFonts w:hint="eastAsia" w:ascii="宋体" w:hAnsi="宋体"/>
                <w:sz w:val="24"/>
              </w:rPr>
              <w:t>企业使用信息化进行购销存管理普及率（%）</w:t>
            </w:r>
          </w:p>
        </w:tc>
        <w:tc>
          <w:tcPr>
            <w:tcW w:w="1420" w:type="dxa"/>
            <w:vAlign w:val="center"/>
          </w:tcPr>
          <w:p>
            <w:pPr>
              <w:jc w:val="center"/>
              <w:rPr>
                <w:rFonts w:ascii="宋体" w:hAnsi="宋体"/>
                <w:sz w:val="24"/>
              </w:rPr>
            </w:pPr>
            <w:r>
              <w:rPr>
                <w:rFonts w:hint="eastAsia" w:ascii="宋体" w:hAnsi="宋体"/>
                <w:sz w:val="24"/>
              </w:rPr>
              <w:t>56.84</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65</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75以上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1" w:hRule="atLeast"/>
          <w:jc w:val="center"/>
        </w:trPr>
        <w:tc>
          <w:tcPr>
            <w:tcW w:w="749" w:type="dxa"/>
            <w:vMerge w:val="continue"/>
            <w:tcBorders>
              <w:left w:val="nil"/>
            </w:tcBorders>
            <w:vAlign w:val="center"/>
          </w:tcPr>
          <w:p>
            <w:pPr>
              <w:jc w:val="center"/>
              <w:rPr>
                <w:rFonts w:ascii="宋体" w:hAnsi="宋体"/>
                <w:sz w:val="24"/>
              </w:rPr>
            </w:pPr>
          </w:p>
        </w:tc>
        <w:tc>
          <w:tcPr>
            <w:tcW w:w="3429" w:type="dxa"/>
            <w:vAlign w:val="center"/>
          </w:tcPr>
          <w:p>
            <w:pPr>
              <w:rPr>
                <w:rFonts w:ascii="宋体" w:hAnsi="宋体"/>
                <w:sz w:val="24"/>
              </w:rPr>
            </w:pPr>
            <w:r>
              <w:rPr>
                <w:rFonts w:hint="eastAsia" w:ascii="宋体" w:hAnsi="宋体"/>
                <w:sz w:val="24"/>
              </w:rPr>
              <w:t>企业使用信息化进行生产制造管理普及率（%）</w:t>
            </w:r>
          </w:p>
        </w:tc>
        <w:tc>
          <w:tcPr>
            <w:tcW w:w="1420" w:type="dxa"/>
            <w:vAlign w:val="center"/>
          </w:tcPr>
          <w:p>
            <w:pPr>
              <w:jc w:val="center"/>
              <w:rPr>
                <w:rFonts w:ascii="宋体" w:hAnsi="宋体"/>
                <w:sz w:val="24"/>
              </w:rPr>
            </w:pPr>
            <w:r>
              <w:rPr>
                <w:rFonts w:hint="eastAsia" w:ascii="宋体" w:hAnsi="宋体"/>
                <w:sz w:val="24"/>
              </w:rPr>
              <w:t>35.79</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45.09</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52.59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1" w:hRule="atLeast"/>
          <w:jc w:val="center"/>
        </w:trPr>
        <w:tc>
          <w:tcPr>
            <w:tcW w:w="749" w:type="dxa"/>
            <w:vMerge w:val="continue"/>
            <w:tcBorders>
              <w:left w:val="nil"/>
            </w:tcBorders>
            <w:vAlign w:val="center"/>
          </w:tcPr>
          <w:p>
            <w:pPr>
              <w:jc w:val="center"/>
              <w:rPr>
                <w:rFonts w:ascii="宋体" w:hAnsi="宋体"/>
                <w:sz w:val="24"/>
              </w:rPr>
            </w:pPr>
          </w:p>
        </w:tc>
        <w:tc>
          <w:tcPr>
            <w:tcW w:w="3429" w:type="dxa"/>
            <w:vAlign w:val="center"/>
          </w:tcPr>
          <w:p>
            <w:pPr>
              <w:rPr>
                <w:rFonts w:ascii="宋体" w:hAnsi="宋体"/>
                <w:sz w:val="24"/>
              </w:rPr>
            </w:pPr>
            <w:r>
              <w:rPr>
                <w:rFonts w:hint="eastAsia" w:ascii="宋体" w:hAnsi="宋体"/>
                <w:sz w:val="24"/>
              </w:rPr>
              <w:t>企业使用信息化进行物流配送管理普及率（%）</w:t>
            </w:r>
          </w:p>
        </w:tc>
        <w:tc>
          <w:tcPr>
            <w:tcW w:w="1420" w:type="dxa"/>
            <w:vAlign w:val="center"/>
          </w:tcPr>
          <w:p>
            <w:pPr>
              <w:jc w:val="center"/>
              <w:rPr>
                <w:rFonts w:ascii="宋体" w:hAnsi="宋体"/>
                <w:sz w:val="24"/>
              </w:rPr>
            </w:pPr>
            <w:r>
              <w:rPr>
                <w:rFonts w:hint="eastAsia" w:ascii="宋体" w:hAnsi="宋体"/>
                <w:sz w:val="24"/>
              </w:rPr>
              <w:t>11.58</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14.59</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749" w:type="dxa"/>
            <w:vMerge w:val="restart"/>
            <w:tcBorders>
              <w:left w:val="nil"/>
            </w:tcBorders>
            <w:vAlign w:val="center"/>
          </w:tcPr>
          <w:p>
            <w:pPr>
              <w:jc w:val="center"/>
              <w:rPr>
                <w:rFonts w:ascii="宋体" w:hAnsi="宋体"/>
                <w:sz w:val="24"/>
              </w:rPr>
            </w:pPr>
            <w:r>
              <w:rPr>
                <w:rFonts w:hint="eastAsia" w:ascii="宋体" w:hAnsi="宋体"/>
                <w:sz w:val="24"/>
              </w:rPr>
              <w:t>新业态新模式</w:t>
            </w:r>
          </w:p>
        </w:tc>
        <w:tc>
          <w:tcPr>
            <w:tcW w:w="3429" w:type="dxa"/>
            <w:vAlign w:val="center"/>
          </w:tcPr>
          <w:p>
            <w:pPr>
              <w:rPr>
                <w:rFonts w:ascii="宋体" w:hAnsi="宋体"/>
                <w:sz w:val="24"/>
              </w:rPr>
            </w:pPr>
            <w:r>
              <w:rPr>
                <w:rFonts w:hint="eastAsia" w:ascii="宋体" w:hAnsi="宋体"/>
                <w:sz w:val="24"/>
              </w:rPr>
              <w:t>人均电子商务销售额（元/人）</w:t>
            </w:r>
          </w:p>
        </w:tc>
        <w:tc>
          <w:tcPr>
            <w:tcW w:w="1420" w:type="dxa"/>
            <w:vAlign w:val="center"/>
          </w:tcPr>
          <w:p>
            <w:pPr>
              <w:jc w:val="center"/>
              <w:rPr>
                <w:rFonts w:ascii="宋体" w:hAnsi="宋体"/>
                <w:sz w:val="24"/>
              </w:rPr>
            </w:pPr>
            <w:r>
              <w:rPr>
                <w:rFonts w:hint="eastAsia" w:ascii="宋体" w:hAnsi="宋体"/>
                <w:sz w:val="24"/>
              </w:rPr>
              <w:t>4039.97</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6981.07</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10052.74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43" w:hRule="atLeast"/>
          <w:jc w:val="center"/>
        </w:trPr>
        <w:tc>
          <w:tcPr>
            <w:tcW w:w="749" w:type="dxa"/>
            <w:vMerge w:val="continue"/>
            <w:tcBorders>
              <w:left w:val="nil"/>
            </w:tcBorders>
            <w:vAlign w:val="center"/>
          </w:tcPr>
          <w:p>
            <w:pPr>
              <w:jc w:val="center"/>
              <w:rPr>
                <w:rFonts w:ascii="宋体" w:hAnsi="宋体"/>
                <w:sz w:val="24"/>
              </w:rPr>
            </w:pPr>
          </w:p>
        </w:tc>
        <w:tc>
          <w:tcPr>
            <w:tcW w:w="3429" w:type="dxa"/>
            <w:vAlign w:val="center"/>
          </w:tcPr>
          <w:p>
            <w:pPr>
              <w:rPr>
                <w:rFonts w:ascii="宋体" w:hAnsi="宋体"/>
                <w:sz w:val="24"/>
              </w:rPr>
            </w:pPr>
            <w:r>
              <w:rPr>
                <w:rFonts w:hint="eastAsia" w:ascii="宋体" w:hAnsi="宋体"/>
                <w:sz w:val="24"/>
              </w:rPr>
              <w:t>网络零售额相当于社会消费品零售总额比例（%）</w:t>
            </w:r>
          </w:p>
        </w:tc>
        <w:tc>
          <w:tcPr>
            <w:tcW w:w="1420" w:type="dxa"/>
            <w:vAlign w:val="center"/>
          </w:tcPr>
          <w:p>
            <w:pPr>
              <w:jc w:val="center"/>
              <w:rPr>
                <w:rFonts w:ascii="宋体" w:hAnsi="宋体"/>
                <w:sz w:val="24"/>
              </w:rPr>
            </w:pPr>
            <w:r>
              <w:rPr>
                <w:rFonts w:hint="eastAsia" w:ascii="宋体" w:hAnsi="宋体"/>
                <w:sz w:val="24"/>
              </w:rPr>
              <w:t>38.08</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57.12</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76.16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1" w:hRule="atLeast"/>
          <w:jc w:val="center"/>
        </w:trPr>
        <w:tc>
          <w:tcPr>
            <w:tcW w:w="749" w:type="dxa"/>
            <w:vMerge w:val="restart"/>
            <w:tcBorders>
              <w:left w:val="nil"/>
            </w:tcBorders>
            <w:vAlign w:val="center"/>
          </w:tcPr>
          <w:p>
            <w:pPr>
              <w:jc w:val="center"/>
              <w:rPr>
                <w:rFonts w:ascii="宋体" w:hAnsi="宋体"/>
                <w:sz w:val="24"/>
              </w:rPr>
            </w:pPr>
            <w:r>
              <w:rPr>
                <w:rFonts w:hint="eastAsia" w:ascii="宋体" w:hAnsi="宋体"/>
                <w:sz w:val="24"/>
              </w:rPr>
              <w:t>政府和社会数字化</w:t>
            </w:r>
          </w:p>
        </w:tc>
        <w:tc>
          <w:tcPr>
            <w:tcW w:w="3429" w:type="dxa"/>
            <w:vAlign w:val="center"/>
          </w:tcPr>
          <w:p>
            <w:pPr>
              <w:rPr>
                <w:rFonts w:ascii="宋体" w:hAnsi="宋体"/>
                <w:sz w:val="24"/>
              </w:rPr>
            </w:pPr>
            <w:r>
              <w:rPr>
                <w:rFonts w:hint="eastAsia" w:ascii="宋体" w:hAnsi="宋体"/>
                <w:sz w:val="24"/>
              </w:rPr>
              <w:t>人均移动互联网接入流量（GB/人）</w:t>
            </w:r>
          </w:p>
        </w:tc>
        <w:tc>
          <w:tcPr>
            <w:tcW w:w="1420" w:type="dxa"/>
            <w:vAlign w:val="center"/>
          </w:tcPr>
          <w:p>
            <w:pPr>
              <w:jc w:val="center"/>
              <w:rPr>
                <w:rFonts w:ascii="宋体" w:hAnsi="宋体"/>
                <w:sz w:val="24"/>
              </w:rPr>
            </w:pPr>
            <w:r>
              <w:rPr>
                <w:rFonts w:hint="eastAsia" w:ascii="宋体" w:hAnsi="宋体"/>
                <w:sz w:val="24"/>
              </w:rPr>
              <w:t>12.70</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27.9</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47.15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2" w:hRule="atLeast"/>
          <w:jc w:val="center"/>
        </w:trPr>
        <w:tc>
          <w:tcPr>
            <w:tcW w:w="749" w:type="dxa"/>
            <w:vMerge w:val="continue"/>
            <w:tcBorders>
              <w:left w:val="nil"/>
            </w:tcBorders>
            <w:vAlign w:val="center"/>
          </w:tcPr>
          <w:p>
            <w:pPr>
              <w:rPr>
                <w:rFonts w:ascii="宋体" w:hAnsi="宋体"/>
                <w:sz w:val="24"/>
              </w:rPr>
            </w:pPr>
          </w:p>
        </w:tc>
        <w:tc>
          <w:tcPr>
            <w:tcW w:w="3429" w:type="dxa"/>
            <w:vAlign w:val="center"/>
          </w:tcPr>
          <w:p>
            <w:pPr>
              <w:rPr>
                <w:rFonts w:ascii="宋体" w:hAnsi="宋体"/>
                <w:sz w:val="24"/>
              </w:rPr>
            </w:pPr>
            <w:r>
              <w:rPr>
                <w:rFonts w:hint="eastAsia" w:ascii="宋体" w:hAnsi="宋体"/>
                <w:sz w:val="24"/>
              </w:rPr>
              <w:t>服务事项覆盖度（%）</w:t>
            </w:r>
          </w:p>
        </w:tc>
        <w:tc>
          <w:tcPr>
            <w:tcW w:w="1420" w:type="dxa"/>
            <w:vAlign w:val="center"/>
          </w:tcPr>
          <w:p>
            <w:pPr>
              <w:jc w:val="center"/>
              <w:rPr>
                <w:rFonts w:ascii="宋体" w:hAnsi="宋体"/>
                <w:sz w:val="24"/>
              </w:rPr>
            </w:pPr>
            <w:r>
              <w:rPr>
                <w:rFonts w:hint="eastAsia" w:ascii="宋体" w:hAnsi="宋体"/>
                <w:sz w:val="24"/>
              </w:rPr>
              <w:t>77.87</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90</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4" w:hRule="atLeast"/>
          <w:jc w:val="center"/>
        </w:trPr>
        <w:tc>
          <w:tcPr>
            <w:tcW w:w="749" w:type="dxa"/>
            <w:vMerge w:val="continue"/>
            <w:tcBorders>
              <w:left w:val="nil"/>
            </w:tcBorders>
            <w:vAlign w:val="center"/>
          </w:tcPr>
          <w:p>
            <w:pPr>
              <w:rPr>
                <w:rFonts w:ascii="宋体" w:hAnsi="宋体"/>
                <w:sz w:val="24"/>
              </w:rPr>
            </w:pPr>
          </w:p>
        </w:tc>
        <w:tc>
          <w:tcPr>
            <w:tcW w:w="3429" w:type="dxa"/>
            <w:vAlign w:val="center"/>
          </w:tcPr>
          <w:p>
            <w:pPr>
              <w:rPr>
                <w:rFonts w:ascii="宋体" w:hAnsi="宋体"/>
                <w:sz w:val="24"/>
              </w:rPr>
            </w:pPr>
            <w:r>
              <w:rPr>
                <w:rFonts w:hint="eastAsia" w:ascii="宋体" w:hAnsi="宋体"/>
                <w:sz w:val="24"/>
              </w:rPr>
              <w:t>办事指南准确度（%）</w:t>
            </w:r>
          </w:p>
        </w:tc>
        <w:tc>
          <w:tcPr>
            <w:tcW w:w="1420" w:type="dxa"/>
            <w:vAlign w:val="center"/>
          </w:tcPr>
          <w:p>
            <w:pPr>
              <w:jc w:val="center"/>
              <w:rPr>
                <w:rFonts w:ascii="宋体" w:hAnsi="宋体"/>
                <w:sz w:val="24"/>
              </w:rPr>
            </w:pPr>
            <w:r>
              <w:rPr>
                <w:rFonts w:hint="eastAsia" w:ascii="宋体" w:hAnsi="宋体"/>
                <w:sz w:val="24"/>
              </w:rPr>
              <w:t>98.29</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100</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6" w:hRule="atLeast"/>
          <w:jc w:val="center"/>
        </w:trPr>
        <w:tc>
          <w:tcPr>
            <w:tcW w:w="749" w:type="dxa"/>
            <w:vMerge w:val="continue"/>
            <w:tcBorders>
              <w:left w:val="nil"/>
            </w:tcBorders>
            <w:vAlign w:val="center"/>
          </w:tcPr>
          <w:p>
            <w:pPr>
              <w:rPr>
                <w:rFonts w:ascii="宋体" w:hAnsi="宋体"/>
                <w:sz w:val="24"/>
              </w:rPr>
            </w:pPr>
          </w:p>
        </w:tc>
        <w:tc>
          <w:tcPr>
            <w:tcW w:w="3429" w:type="dxa"/>
            <w:vAlign w:val="center"/>
          </w:tcPr>
          <w:p>
            <w:pPr>
              <w:rPr>
                <w:rFonts w:ascii="宋体" w:hAnsi="宋体"/>
                <w:sz w:val="24"/>
              </w:rPr>
            </w:pPr>
            <w:r>
              <w:rPr>
                <w:rFonts w:hint="eastAsia" w:ascii="宋体" w:hAnsi="宋体"/>
                <w:sz w:val="24"/>
              </w:rPr>
              <w:t>在线办理成熟度（%）</w:t>
            </w:r>
          </w:p>
        </w:tc>
        <w:tc>
          <w:tcPr>
            <w:tcW w:w="1420" w:type="dxa"/>
            <w:vAlign w:val="center"/>
          </w:tcPr>
          <w:p>
            <w:pPr>
              <w:jc w:val="center"/>
              <w:rPr>
                <w:rFonts w:ascii="宋体" w:hAnsi="宋体"/>
                <w:sz w:val="24"/>
              </w:rPr>
            </w:pPr>
            <w:r>
              <w:rPr>
                <w:rFonts w:hint="eastAsia" w:ascii="宋体" w:hAnsi="宋体"/>
                <w:sz w:val="24"/>
              </w:rPr>
              <w:t>77.45</w:t>
            </w:r>
          </w:p>
        </w:tc>
        <w:tc>
          <w:tcPr>
            <w:tcW w:w="1420" w:type="dxa"/>
            <w:vAlign w:val="center"/>
          </w:tcPr>
          <w:p>
            <w:pPr>
              <w:widowControl/>
              <w:jc w:val="center"/>
              <w:textAlignment w:val="center"/>
              <w:rPr>
                <w:rFonts w:ascii="宋体" w:hAnsi="宋体"/>
                <w:sz w:val="24"/>
              </w:rPr>
            </w:pPr>
            <w:r>
              <w:rPr>
                <w:rFonts w:hint="eastAsia" w:ascii="宋体" w:hAnsi="宋体" w:cs="宋体"/>
                <w:kern w:val="0"/>
                <w:sz w:val="24"/>
                <w:szCs w:val="24"/>
                <w:lang w:bidi="ar"/>
              </w:rPr>
              <w:t>86</w:t>
            </w:r>
          </w:p>
        </w:tc>
        <w:tc>
          <w:tcPr>
            <w:tcW w:w="1413" w:type="dxa"/>
            <w:tcBorders>
              <w:right w:val="nil"/>
            </w:tcBorders>
            <w:vAlign w:val="center"/>
          </w:tcPr>
          <w:p>
            <w:pPr>
              <w:widowControl/>
              <w:jc w:val="center"/>
              <w:textAlignment w:val="center"/>
              <w:rPr>
                <w:rFonts w:ascii="宋体" w:hAnsi="宋体"/>
                <w:sz w:val="24"/>
              </w:rPr>
            </w:pPr>
            <w:r>
              <w:rPr>
                <w:rFonts w:hint="eastAsia" w:ascii="宋体" w:hAnsi="宋体" w:cs="宋体"/>
                <w:kern w:val="0"/>
                <w:sz w:val="24"/>
                <w:szCs w:val="24"/>
                <w:lang w:bidi="ar"/>
              </w:rPr>
              <w:t>90以上</w:t>
            </w:r>
          </w:p>
        </w:tc>
      </w:tr>
    </w:tbl>
    <w:p>
      <w:pPr>
        <w:keepNext/>
        <w:keepLines/>
        <w:spacing w:before="120" w:after="120" w:line="360" w:lineRule="auto"/>
        <w:ind w:firstLine="723" w:firstLineChars="200"/>
        <w:outlineLvl w:val="0"/>
        <w:rPr>
          <w:rFonts w:ascii="黑体" w:hAnsi="黑体" w:eastAsia="黑体" w:cs="黑体"/>
          <w:b/>
          <w:bCs/>
          <w:kern w:val="44"/>
          <w:sz w:val="36"/>
          <w:szCs w:val="36"/>
          <w:lang w:val="zh-CN"/>
        </w:rPr>
      </w:pPr>
      <w:bookmarkStart w:id="11" w:name="_Toc14440756"/>
      <w:r>
        <w:rPr>
          <w:rFonts w:hint="eastAsia" w:ascii="黑体" w:hAnsi="黑体" w:eastAsia="黑体" w:cs="黑体"/>
          <w:b/>
          <w:bCs/>
          <w:kern w:val="44"/>
          <w:sz w:val="36"/>
          <w:szCs w:val="36"/>
          <w:lang w:val="zh-CN"/>
        </w:rPr>
        <w:t>三、主要任务</w:t>
      </w:r>
      <w:bookmarkEnd w:id="11"/>
    </w:p>
    <w:p>
      <w:pPr>
        <w:spacing w:before="156" w:beforeLines="50"/>
        <w:ind w:firstLine="643" w:firstLineChars="200"/>
        <w:outlineLvl w:val="1"/>
        <w:rPr>
          <w:rFonts w:ascii="楷体" w:hAnsi="楷体" w:eastAsia="楷体" w:cs="楷体"/>
          <w:b/>
          <w:sz w:val="32"/>
          <w:szCs w:val="32"/>
        </w:rPr>
      </w:pPr>
      <w:bookmarkStart w:id="12" w:name="_Toc14440757"/>
      <w:r>
        <w:rPr>
          <w:rFonts w:hint="eastAsia" w:ascii="楷体" w:hAnsi="楷体" w:eastAsia="楷体" w:cs="楷体"/>
          <w:b/>
          <w:sz w:val="32"/>
          <w:szCs w:val="32"/>
        </w:rPr>
        <w:t>（一）聚焦生态工业，全力推动制造业数字化升级。</w:t>
      </w:r>
      <w:bookmarkEnd w:id="12"/>
    </w:p>
    <w:p>
      <w:pPr>
        <w:ind w:firstLine="643" w:firstLineChars="200"/>
        <w:rPr>
          <w:rFonts w:ascii="仿宋" w:hAnsi="仿宋" w:eastAsia="仿宋" w:cs="仿宋"/>
          <w:b/>
          <w:bCs/>
          <w:sz w:val="32"/>
          <w:szCs w:val="32"/>
        </w:rPr>
      </w:pPr>
      <w:r>
        <w:rPr>
          <w:rFonts w:hint="eastAsia" w:ascii="仿宋" w:hAnsi="仿宋" w:eastAsia="仿宋" w:cs="仿宋"/>
          <w:b/>
          <w:bCs/>
          <w:sz w:val="32"/>
          <w:szCs w:val="32"/>
        </w:rPr>
        <w:t>1、大力推广智能制造</w:t>
      </w:r>
    </w:p>
    <w:p>
      <w:pPr>
        <w:ind w:firstLine="640" w:firstLineChars="200"/>
        <w:rPr>
          <w:rFonts w:ascii="仿宋" w:hAnsi="仿宋" w:eastAsia="仿宋" w:cs="仿宋"/>
          <w:bCs/>
          <w:sz w:val="32"/>
          <w:szCs w:val="32"/>
        </w:rPr>
      </w:pPr>
      <w:r>
        <w:rPr>
          <w:rFonts w:hint="eastAsia" w:ascii="楷体" w:hAnsi="楷体" w:eastAsia="楷体" w:cs="仿宋"/>
          <w:bCs/>
          <w:sz w:val="32"/>
          <w:szCs w:val="32"/>
        </w:rPr>
        <w:t>——推进生产过程智能化改造升级。</w:t>
      </w:r>
      <w:r>
        <w:rPr>
          <w:rFonts w:hint="eastAsia" w:ascii="仿宋" w:hAnsi="仿宋" w:eastAsia="仿宋" w:cs="仿宋"/>
          <w:bCs/>
          <w:sz w:val="32"/>
          <w:szCs w:val="32"/>
        </w:rPr>
        <w:t>大力推进以“机器换人”为主的智能化技术改造，重点鼓励龙头企业开展</w:t>
      </w:r>
      <w:r>
        <w:rPr>
          <w:rFonts w:hint="eastAsia" w:eastAsia="仿宋_GB2312"/>
          <w:color w:val="000000"/>
          <w:sz w:val="32"/>
        </w:rPr>
        <w:t>智能制造单元、智能生产线、数字化车间、智能工厂建设</w:t>
      </w:r>
      <w:r>
        <w:rPr>
          <w:rFonts w:hint="eastAsia" w:ascii="仿宋" w:hAnsi="仿宋" w:eastAsia="仿宋" w:cs="仿宋"/>
          <w:bCs/>
          <w:sz w:val="32"/>
          <w:szCs w:val="32"/>
        </w:rPr>
        <w:t>。以</w:t>
      </w:r>
      <w:r>
        <w:rPr>
          <w:rFonts w:hint="eastAsia" w:ascii="仿宋" w:hAnsi="仿宋" w:eastAsia="仿宋"/>
          <w:sz w:val="32"/>
          <w:szCs w:val="32"/>
        </w:rPr>
        <w:t>阀门、电机、电器、鞋服</w:t>
      </w:r>
      <w:r>
        <w:rPr>
          <w:rFonts w:hint="eastAsia" w:ascii="仿宋" w:hAnsi="仿宋" w:eastAsia="仿宋" w:cs="仿宋"/>
          <w:bCs/>
          <w:sz w:val="32"/>
          <w:szCs w:val="32"/>
        </w:rPr>
        <w:t>等离散行业为重点，鼓励企业加强基于三维模型的产品设计与仿真，引导企业</w:t>
      </w:r>
      <w:r>
        <w:rPr>
          <w:rFonts w:hint="eastAsia" w:ascii="仿宋" w:hAnsi="仿宋" w:eastAsia="仿宋"/>
          <w:sz w:val="32"/>
          <w:szCs w:val="32"/>
        </w:rPr>
        <w:t>推广以人机智能交互、柔性敏捷生产等为特征的智能制造方式，</w:t>
      </w:r>
      <w:r>
        <w:rPr>
          <w:rFonts w:hint="eastAsia" w:ascii="仿宋" w:hAnsi="仿宋" w:eastAsia="仿宋" w:cs="仿宋"/>
          <w:bCs/>
          <w:sz w:val="32"/>
          <w:szCs w:val="32"/>
        </w:rPr>
        <w:t>重点加强装备、系统间数据的互联互通，打造数字化示范工程；以石雕等流程制造行业为重点，深度应用数字技术打造生产精细、集约高效、实时优化的生产新体系。到2022年，全员劳动生产率年均增长7%，全县实现规上企业数字化改造全覆盖，重点企业装备数控化率达70%以上、机器联网率达60%以上，累计推进数字车间/智能工厂1-2家，新增工业机器人160台。</w:t>
      </w:r>
    </w:p>
    <w:p>
      <w:pPr>
        <w:ind w:firstLine="640" w:firstLineChars="200"/>
        <w:rPr>
          <w:rFonts w:ascii="仿宋" w:hAnsi="仿宋" w:eastAsia="仿宋" w:cs="仿宋"/>
          <w:bCs/>
          <w:sz w:val="32"/>
          <w:szCs w:val="32"/>
        </w:rPr>
      </w:pPr>
      <w:r>
        <w:rPr>
          <w:rFonts w:hint="eastAsia" w:ascii="楷体" w:hAnsi="楷体" w:eastAsia="楷体" w:cs="仿宋"/>
          <w:bCs/>
          <w:sz w:val="32"/>
          <w:szCs w:val="32"/>
        </w:rPr>
        <w:t>——积极发展“互联网+制造”新模式。</w:t>
      </w:r>
      <w:r>
        <w:rPr>
          <w:rFonts w:hint="eastAsia" w:ascii="仿宋" w:hAnsi="仿宋" w:eastAsia="仿宋" w:cs="仿宋"/>
          <w:bCs/>
          <w:sz w:val="32"/>
          <w:szCs w:val="32"/>
        </w:rPr>
        <w:t>鼓励行业龙头企业积极开展“互联网+”协同制造示范建设，基于互联网整合产业链资源，开展个性化定制、众包设计、云制造、网络制造等新型制造模式，推动形成基于消费需求动态感知的研发、制造和产业组织方式。鼓励开展基于物联网、5</w:t>
      </w:r>
      <w:r>
        <w:rPr>
          <w:rFonts w:ascii="仿宋" w:hAnsi="仿宋" w:eastAsia="仿宋" w:cs="仿宋"/>
          <w:bCs/>
          <w:sz w:val="32"/>
          <w:szCs w:val="32"/>
        </w:rPr>
        <w:t>G</w:t>
      </w:r>
      <w:r>
        <w:rPr>
          <w:rFonts w:hint="eastAsia" w:ascii="仿宋" w:hAnsi="仿宋" w:eastAsia="仿宋" w:cs="仿宋"/>
          <w:bCs/>
          <w:sz w:val="32"/>
          <w:szCs w:val="32"/>
        </w:rPr>
        <w:t>等技术的智能工厂应用示范，培育智能监测、远程诊断管理、全产业链追溯等工业互联网新应用。力争每年培育机器联网项目6个以上、互联网与工业融合创新项目3个以上。</w:t>
      </w:r>
    </w:p>
    <w:p>
      <w:pPr>
        <w:ind w:firstLine="640" w:firstLineChars="200"/>
        <w:rPr>
          <w:rFonts w:ascii="仿宋" w:hAnsi="仿宋" w:eastAsia="仿宋" w:cs="仿宋"/>
          <w:bCs/>
          <w:sz w:val="32"/>
          <w:szCs w:val="32"/>
        </w:rPr>
      </w:pPr>
      <w:r>
        <w:rPr>
          <w:rFonts w:hint="eastAsia" w:ascii="楷体" w:hAnsi="楷体" w:eastAsia="楷体" w:cs="仿宋"/>
          <w:bCs/>
          <w:sz w:val="32"/>
          <w:szCs w:val="32"/>
        </w:rPr>
        <w:t>——大力推广服务型制造。</w:t>
      </w:r>
      <w:r>
        <w:rPr>
          <w:rFonts w:hint="eastAsia" w:ascii="仿宋" w:hAnsi="仿宋" w:eastAsia="仿宋" w:cs="仿宋"/>
          <w:bCs/>
          <w:sz w:val="32"/>
          <w:szCs w:val="32"/>
        </w:rPr>
        <w:t>面向阀门、电机、电器等装备制造业，支持和鼓励超达铸造、三辰电器、球豹阀门等企业基于互联网开展故障预警、远程维护、质量诊断、远程过程优化等在线增值服务，并加强银行和第三方专业融资租赁企业合作，开展基于智能互联的装备（产品）融资租赁业务，实现从制造向“制造+服务”的转型升级。鼓励阀门、电器和鞋服等领域龙头企业，建立用户个性化需求信息平台和个性化定制服务平台，推进供需对接，发展基于大数据的大规模个性化定制。</w:t>
      </w:r>
    </w:p>
    <w:tbl>
      <w:tblPr>
        <w:tblStyle w:val="18"/>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1" w:hRule="atLeast"/>
        </w:trPr>
        <w:tc>
          <w:tcPr>
            <w:tcW w:w="8522" w:type="dxa"/>
          </w:tcPr>
          <w:p>
            <w:pPr>
              <w:adjustRightInd w:val="0"/>
              <w:snapToGrid w:val="0"/>
              <w:spacing w:line="480" w:lineRule="exact"/>
              <w:jc w:val="center"/>
              <w:rPr>
                <w:rFonts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专栏1：重点行业智能制造示范工程</w:t>
            </w:r>
          </w:p>
          <w:p>
            <w:pPr>
              <w:adjustRightInd w:val="0"/>
              <w:snapToGrid w:val="0"/>
              <w:spacing w:line="480" w:lineRule="exact"/>
              <w:ind w:firstLine="480" w:firstLineChars="200"/>
              <w:rPr>
                <w:rFonts w:ascii="仿宋_GB2312" w:hAnsi="仿宋_GB2312" w:cs="仿宋_GB2312"/>
                <w:color w:val="000000"/>
                <w:sz w:val="24"/>
              </w:rPr>
            </w:pPr>
            <w:r>
              <w:rPr>
                <w:rFonts w:hint="eastAsia" w:ascii="楷体" w:hAnsi="楷体" w:eastAsia="楷体" w:cs="仿宋_GB2312"/>
                <w:color w:val="000000"/>
                <w:sz w:val="24"/>
              </w:rPr>
              <w:t>——装备制造领域。</w:t>
            </w:r>
            <w:r>
              <w:rPr>
                <w:rFonts w:hint="eastAsia" w:ascii="仿宋_GB2312" w:hAnsi="仿宋_GB2312" w:cs="仿宋_GB2312"/>
                <w:color w:val="000000"/>
                <w:sz w:val="24"/>
              </w:rPr>
              <w:t>面向机械电器、泵阀等行业，推进研发设计环节数字化，重点开发智能化新产品，提供个性化新服务，加快向节能环保、智能控制、高精尖方向发展。支持装备制造企业实施柔性化改造，鼓励发展电子商务、规模化定制、网络化协同创新等新模式。鼓励开展基于互联网的故障预警、远程维护、质量诊断、远程过程优化等在线增值服务。支持建设3D 打印等一批共性服务平台和线上线下展示中心。</w:t>
            </w:r>
          </w:p>
          <w:p>
            <w:pPr>
              <w:adjustRightInd w:val="0"/>
              <w:snapToGrid w:val="0"/>
              <w:spacing w:line="480" w:lineRule="exact"/>
              <w:ind w:firstLine="480" w:firstLineChars="200"/>
              <w:rPr>
                <w:rFonts w:ascii="仿宋_GB2312" w:hAnsi="仿宋_GB2312" w:cs="仿宋_GB2312"/>
                <w:color w:val="000000"/>
                <w:sz w:val="24"/>
              </w:rPr>
            </w:pPr>
            <w:r>
              <w:rPr>
                <w:rFonts w:hint="eastAsia" w:ascii="楷体" w:hAnsi="楷体" w:eastAsia="楷体" w:cs="仿宋_GB2312"/>
                <w:color w:val="000000"/>
                <w:sz w:val="24"/>
              </w:rPr>
              <w:t>——鞋服行业领域。</w:t>
            </w:r>
            <w:r>
              <w:rPr>
                <w:rFonts w:hint="eastAsia" w:ascii="仿宋_GB2312" w:hAnsi="仿宋_GB2312" w:cs="仿宋_GB2312"/>
                <w:color w:val="000000"/>
                <w:sz w:val="24"/>
              </w:rPr>
              <w:t>面向鞋服行业，推进一批满足定制需要的客户自助式设计平台建设，打造一批个性化定制车间。支持</w:t>
            </w:r>
            <w:r>
              <w:rPr>
                <w:rFonts w:hint="eastAsia" w:ascii="仿宋_GB2312" w:hAnsi="仿宋_GB2312" w:cs="仿宋_GB2312"/>
                <w:sz w:val="24"/>
              </w:rPr>
              <w:t>鞋服企业创建网上“时尚名品馆”，加强服装设计与工程知识库、服装用人体数据库等行业基础数据库建设。在鞋服行业确定2-3家个性化定制示范企业，建设全省领先的个性化定制基地。</w:t>
            </w:r>
          </w:p>
          <w:p>
            <w:pPr>
              <w:adjustRightInd w:val="0"/>
              <w:snapToGrid w:val="0"/>
              <w:spacing w:line="480" w:lineRule="exact"/>
              <w:ind w:firstLine="480" w:firstLineChars="200"/>
              <w:rPr>
                <w:rFonts w:ascii="仿宋_GB2312" w:hAnsi="仿宋_GB2312" w:cs="仿宋_GB2312"/>
                <w:color w:val="000000"/>
                <w:sz w:val="24"/>
              </w:rPr>
            </w:pPr>
            <w:r>
              <w:rPr>
                <w:rFonts w:hint="eastAsia" w:ascii="楷体" w:hAnsi="楷体" w:eastAsia="楷体" w:cs="仿宋_GB2312"/>
                <w:color w:val="000000"/>
                <w:sz w:val="24"/>
              </w:rPr>
              <w:t>——石雕行业领域。</w:t>
            </w:r>
            <w:r>
              <w:rPr>
                <w:rFonts w:hint="eastAsia" w:ascii="仿宋_GB2312" w:hAnsi="仿宋_GB2312" w:cs="仿宋_GB2312"/>
                <w:color w:val="000000"/>
                <w:sz w:val="24"/>
              </w:rPr>
              <w:t>把握消费者需求个性化、定制化升级方向，打造基于互联网的众包众设、协同设计制造平台，带动石雕行业的产业链整合与整体升级。实施石雕行业“大数据+”行动，探索大规模个性化定制、小批量快捷柔性化生产等新模式。</w:t>
            </w:r>
          </w:p>
        </w:tc>
      </w:tr>
    </w:tbl>
    <w:p>
      <w:pPr>
        <w:ind w:firstLine="640" w:firstLineChars="200"/>
        <w:rPr>
          <w:rFonts w:ascii="仿宋" w:hAnsi="仿宋" w:eastAsia="仿宋" w:cs="仿宋"/>
          <w:bCs/>
          <w:sz w:val="32"/>
          <w:szCs w:val="32"/>
        </w:rPr>
      </w:pP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2、推进企业上云上平台</w:t>
      </w:r>
    </w:p>
    <w:p>
      <w:pPr>
        <w:ind w:firstLine="640" w:firstLineChars="200"/>
        <w:rPr>
          <w:rFonts w:ascii="仿宋" w:hAnsi="仿宋" w:eastAsia="仿宋" w:cs="仿宋"/>
          <w:bCs/>
          <w:sz w:val="32"/>
          <w:szCs w:val="32"/>
        </w:rPr>
      </w:pPr>
      <w:r>
        <w:rPr>
          <w:rFonts w:hint="eastAsia" w:ascii="楷体" w:hAnsi="楷体" w:eastAsia="楷体" w:cs="仿宋"/>
          <w:bCs/>
          <w:sz w:val="32"/>
          <w:szCs w:val="32"/>
        </w:rPr>
        <w:t>——深入推进“企业上云”。</w:t>
      </w:r>
      <w:r>
        <w:rPr>
          <w:rFonts w:hint="eastAsia" w:ascii="仿宋" w:hAnsi="仿宋" w:eastAsia="仿宋" w:cs="仿宋"/>
          <w:bCs/>
          <w:sz w:val="32"/>
          <w:szCs w:val="32"/>
        </w:rPr>
        <w:t>针对不同行业企业特点及其个性化需求，加强分类指导，实施差异化的“企业上云”策略，全面推进工业、农业、服务业、科技企业上云。重点培育上云标杆企业，以规上企业为重点，分行业组织云平台服务商、云应用服务商加强对接，点对点地进行需求分析、上云诊断，配合制定云化方案，推动企业从资源上云逐步向管理上云、业务上云、数据上云升级。推广一批通过业务重构和数据整合提升企业价值链的典型应用案例，打造一批可复制的深度用云行业解决方案。到2022年，全县累计上云企业数达到1200家以上，培育2-3家上云标杆企业，培育3-5家工业互联网深度应用示范企业。</w:t>
      </w:r>
    </w:p>
    <w:p>
      <w:pPr>
        <w:ind w:firstLine="640" w:firstLineChars="200"/>
        <w:rPr>
          <w:rFonts w:ascii="仿宋" w:hAnsi="仿宋" w:eastAsia="仿宋" w:cs="仿宋"/>
          <w:bCs/>
          <w:sz w:val="32"/>
          <w:szCs w:val="32"/>
        </w:rPr>
      </w:pPr>
      <w:r>
        <w:rPr>
          <w:rFonts w:hint="eastAsia" w:ascii="楷体" w:hAnsi="楷体" w:eastAsia="楷体" w:cs="仿宋"/>
          <w:bCs/>
          <w:sz w:val="32"/>
          <w:szCs w:val="32"/>
        </w:rPr>
        <w:t>——推进工业互联网平台建设。</w:t>
      </w:r>
      <w:r>
        <w:rPr>
          <w:rFonts w:hint="eastAsia" w:ascii="仿宋" w:hAnsi="仿宋" w:eastAsia="仿宋" w:cs="仿宋"/>
          <w:bCs/>
          <w:sz w:val="32"/>
          <w:szCs w:val="32"/>
        </w:rPr>
        <w:t>面向装备制造业（机械电器、泵阀等）、鞋革服装、石雕等主要行业，加快建设行业级工业互联网平台，大力引导和鼓励中小企业上平台用平台，参与产业链协同、订单式生产、个性化定制、电商品牌培育，分享平台丰富的工业化软件、设备连接和计算存储等服务，推动从“低小散”走向“特精专”，实现数据驱动块状经济转型升级。依托三辰电器公司，重点推进面向电器的企业级工业互联网平台建设。落实国家百万工业 APP工程，鼓励工业互联网平台开放共享基础资源及共性微服务，促进应用迭代更新。到2022年，打造2-3个行业级和企业级工业互联网平台。</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3、发展智能化新产品新装备</w:t>
      </w:r>
    </w:p>
    <w:p>
      <w:pPr>
        <w:ind w:firstLine="640" w:firstLineChars="200"/>
        <w:rPr>
          <w:rFonts w:ascii="仿宋" w:hAnsi="仿宋" w:eastAsia="仿宋" w:cs="仿宋"/>
          <w:bCs/>
          <w:sz w:val="32"/>
          <w:szCs w:val="32"/>
        </w:rPr>
      </w:pPr>
      <w:r>
        <w:rPr>
          <w:rFonts w:hint="eastAsia" w:ascii="楷体" w:hAnsi="楷体" w:eastAsia="楷体" w:cs="仿宋"/>
          <w:bCs/>
          <w:sz w:val="32"/>
          <w:szCs w:val="32"/>
        </w:rPr>
        <w:t>——提升产品智能化水平。</w:t>
      </w:r>
      <w:r>
        <w:rPr>
          <w:rFonts w:hint="eastAsia" w:ascii="仿宋" w:hAnsi="仿宋" w:eastAsia="仿宋" w:cs="仿宋"/>
          <w:bCs/>
          <w:sz w:val="32"/>
          <w:szCs w:val="32"/>
        </w:rPr>
        <w:t>围绕阀门、电机、电器等装备制造业，结合产品特点，加快推进嵌入式软件芯片、无线传感器、工业控制等关键智能化技术与产品的融合，发展智能化、网络化、服务化新产品。鼓励我县企业加快智能化新产品开发，加大智能化产品市场推广力度，组织新产品推介，强化供需对接。选择机械电器、泵阀、鞋革服装以及石雕工艺品等产业，鼓励发展基于互联网的个性化定制、众包、云制造等新型制造模式，依托创客、众筹、众包等平台，利用大众创新不断开发智能化新产品。到2022年，研发并推广一批省级以上首台（套）智能技术装备，在阀门、电机、电器等行业领域形成一批具有核心竞争力的智能化产品。</w:t>
      </w:r>
    </w:p>
    <w:p>
      <w:pPr>
        <w:ind w:firstLine="640" w:firstLineChars="200"/>
        <w:rPr>
          <w:rFonts w:ascii="仿宋" w:hAnsi="仿宋" w:eastAsia="仿宋" w:cs="仿宋"/>
          <w:bCs/>
          <w:sz w:val="32"/>
          <w:szCs w:val="32"/>
        </w:rPr>
      </w:pPr>
      <w:r>
        <w:rPr>
          <w:rFonts w:hint="eastAsia" w:ascii="楷体" w:hAnsi="楷体" w:eastAsia="楷体" w:cs="仿宋"/>
          <w:bCs/>
          <w:sz w:val="32"/>
          <w:szCs w:val="32"/>
        </w:rPr>
        <w:t>——加快研发智能化新装备。</w:t>
      </w:r>
      <w:r>
        <w:rPr>
          <w:rFonts w:hint="eastAsia" w:ascii="仿宋" w:hAnsi="仿宋" w:eastAsia="仿宋" w:cs="仿宋"/>
          <w:bCs/>
          <w:sz w:val="32"/>
          <w:szCs w:val="32"/>
        </w:rPr>
        <w:t>紧抓智能工业发展需求，组织芯片、传感器、软件等信息技术企业与产品、装备的制造商对接，加快不锈钢、鞋服、阀门等重点领域装备智能化，开发一批标志性的重大智能制造成套设备，促进行业专用自动化（智能化）成套装备的研发制造。鼓励研发适配新一轮“机器换人”的高端智能化、一体化生产装备，推动产品从“数字一代”向“智能一代、虚拟一代”升级。组织实施装备智能化升级示范专项行动，培育推广一批“浙江制造智能精品”、“机器换人”先进适用装备。</w:t>
      </w:r>
    </w:p>
    <w:p>
      <w:pPr>
        <w:spacing w:before="156" w:beforeLines="50"/>
        <w:ind w:firstLine="643" w:firstLineChars="200"/>
        <w:outlineLvl w:val="1"/>
        <w:rPr>
          <w:rFonts w:ascii="楷体" w:hAnsi="楷体" w:eastAsia="楷体" w:cs="楷体"/>
          <w:b/>
          <w:sz w:val="32"/>
          <w:szCs w:val="32"/>
        </w:rPr>
      </w:pPr>
      <w:bookmarkStart w:id="13" w:name="_Toc14440758"/>
      <w:r>
        <w:rPr>
          <w:rFonts w:hint="eastAsia" w:ascii="楷体" w:hAnsi="楷体" w:eastAsia="楷体" w:cs="楷体"/>
          <w:b/>
          <w:sz w:val="32"/>
          <w:szCs w:val="32"/>
        </w:rPr>
        <w:t>（二）聚焦特色商贸，积极构筑数字化贸易新体系。</w:t>
      </w:r>
      <w:bookmarkEnd w:id="13"/>
    </w:p>
    <w:p>
      <w:pPr>
        <w:ind w:firstLine="643" w:firstLineChars="200"/>
        <w:rPr>
          <w:rFonts w:ascii="仿宋" w:hAnsi="仿宋" w:eastAsia="仿宋" w:cs="仿宋"/>
          <w:b/>
          <w:bCs/>
          <w:sz w:val="32"/>
          <w:szCs w:val="32"/>
        </w:rPr>
      </w:pPr>
      <w:r>
        <w:rPr>
          <w:rFonts w:hint="eastAsia" w:ascii="仿宋" w:hAnsi="仿宋" w:eastAsia="仿宋" w:cs="仿宋"/>
          <w:b/>
          <w:bCs/>
          <w:sz w:val="32"/>
          <w:szCs w:val="32"/>
        </w:rPr>
        <w:t>1、推进商贸数字化转型</w:t>
      </w:r>
    </w:p>
    <w:p>
      <w:pPr>
        <w:ind w:firstLine="640" w:firstLineChars="200"/>
        <w:rPr>
          <w:rFonts w:ascii="仿宋" w:hAnsi="仿宋" w:eastAsia="仿宋" w:cs="仿宋"/>
          <w:bCs/>
          <w:sz w:val="32"/>
          <w:szCs w:val="32"/>
        </w:rPr>
      </w:pPr>
      <w:r>
        <w:rPr>
          <w:rFonts w:hint="eastAsia" w:ascii="楷体" w:hAnsi="楷体" w:eastAsia="楷体" w:cs="仿宋"/>
          <w:bCs/>
          <w:sz w:val="32"/>
          <w:szCs w:val="32"/>
        </w:rPr>
        <w:t>——创新进口商贸电子商务发展。</w:t>
      </w:r>
      <w:r>
        <w:rPr>
          <w:rFonts w:hint="eastAsia" w:ascii="仿宋" w:hAnsi="仿宋" w:eastAsia="仿宋" w:cs="仿宋"/>
          <w:bCs/>
          <w:sz w:val="32"/>
          <w:szCs w:val="32"/>
        </w:rPr>
        <w:t>充分利用青田华侨资源，依托青田侨乡进口商品城、侨乡农品城、世界红酒中心、欧洲小镇等平台载体，积极打造青田县进口商贸电子商务产业园，形成以“线上集成+跨境贸易+综合服务”为主要特征，“物流通关渠道+线上线下场景融合+社交电商+金融增值服务”为核心竞争力的跨境商品集散区。加快建立区域性进口商贸电子商务创业创新中心、服务中心和物流中心，打造快速通关系统、监管平台和服务体系，建立上下游供应链深度融合的进口商贸电子商务全产业链，形成一般贸易、市场批发、跨境电商同步协调发展的外贸发展新局面。创建跨境电商综合试验区，支持推动跨境电商监管中心实施“保税备货进口”业务模式，主动参与电子世界贸易平台（eWTP）建设。支持有实力的企业在跨境电子商务主要出口市 场设立海外仓，搭建以海外仓为支点的目的国配送辐射网点。到2022年，电子商务网络零售额突破120亿元，涌现20-30家传统行业转型电商的示范企业，企业电子商务应用普及率达90％以上。</w:t>
      </w:r>
    </w:p>
    <w:p>
      <w:pPr>
        <w:ind w:firstLine="640" w:firstLineChars="200"/>
        <w:rPr>
          <w:rFonts w:ascii="仿宋" w:hAnsi="仿宋" w:eastAsia="仿宋" w:cs="仿宋"/>
          <w:bCs/>
          <w:sz w:val="32"/>
          <w:szCs w:val="32"/>
        </w:rPr>
      </w:pPr>
      <w:r>
        <w:rPr>
          <w:rFonts w:hint="eastAsia" w:ascii="楷体" w:hAnsi="楷体" w:eastAsia="楷体" w:cs="仿宋"/>
          <w:bCs/>
          <w:sz w:val="32"/>
          <w:szCs w:val="32"/>
        </w:rPr>
        <w:t>——大力发展数字贸易新服务。</w:t>
      </w:r>
      <w:r>
        <w:rPr>
          <w:rFonts w:hint="eastAsia" w:ascii="仿宋" w:hAnsi="仿宋" w:eastAsia="仿宋" w:cs="仿宋"/>
          <w:bCs/>
          <w:sz w:val="32"/>
          <w:szCs w:val="32"/>
        </w:rPr>
        <w:t>大力发展电子商务新业态，积极推广社交电商、网红经济等网络营销新模式，培育发展线上线下联动的体验式消费、群体共享式消费、个性需求定制服务等数字贸易新服务。加快青田石雕、鞋革服装等块状优势产业以及农旅特色产业的线上线下融合发展，探索定制化生产和精准营销深度融合发展的电商新模式。以青田侨乡进口商品城、石雕小镇、侨乡农品城、世界红酒中心等为试点，先行推广无人超市、智能便利店等新零售模式，充分利用移动互联网、人工智能、大数据、虚拟现实等技术，为客户提供定制化推送、精准推荐、虚拟体验等服务，改善用户购物体验。到2022年，打造1-2个本地的垂直类电子商务平台。</w:t>
      </w:r>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9" w:hRule="atLeast"/>
          <w:jc w:val="center"/>
        </w:trPr>
        <w:tc>
          <w:tcPr>
            <w:tcW w:w="8522" w:type="dxa"/>
          </w:tcPr>
          <w:p>
            <w:pPr>
              <w:adjustRightInd w:val="0"/>
              <w:snapToGrid w:val="0"/>
              <w:spacing w:line="480" w:lineRule="exact"/>
              <w:jc w:val="center"/>
              <w:rPr>
                <w:rFonts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专栏2：数字孪生“侨乡进口商品城”建设工程</w:t>
            </w:r>
          </w:p>
          <w:p>
            <w:pPr>
              <w:adjustRightInd w:val="0"/>
              <w:snapToGrid w:val="0"/>
              <w:spacing w:line="480" w:lineRule="exact"/>
              <w:ind w:firstLine="480" w:firstLineChars="200"/>
              <w:rPr>
                <w:rFonts w:ascii="仿宋_GB2312" w:hAnsi="仿宋_GB2312" w:cs="仿宋_GB2312"/>
                <w:color w:val="000000"/>
                <w:sz w:val="24"/>
              </w:rPr>
            </w:pPr>
            <w:r>
              <w:rPr>
                <w:rFonts w:hint="eastAsia" w:ascii="仿宋_GB2312" w:hAnsi="仿宋_GB2312" w:cs="仿宋_GB2312"/>
                <w:color w:val="000000"/>
                <w:sz w:val="24"/>
              </w:rPr>
              <w:t>依托华侨资源，充分发挥侨博会的红利效应，整合国外的皮鞋、箱包、服饰、葡萄酒等产品，借助城市三维地理信息、物联网、虚拟现实等信息技术，打造一个全空间、三维立体、高精度的网上“侨乡进口商品城”，成为一个集进口商品行业资讯、贸易信息数据库、进口产品及企业大全、网上进口商品交易等于一身的数字孪生侨乡进口商品城。</w:t>
            </w:r>
          </w:p>
          <w:p>
            <w:pPr>
              <w:adjustRightInd w:val="0"/>
              <w:snapToGrid w:val="0"/>
              <w:spacing w:line="480" w:lineRule="exact"/>
              <w:ind w:firstLine="480" w:firstLineChars="200"/>
              <w:rPr>
                <w:rFonts w:ascii="仿宋_GB2312" w:hAnsi="仿宋_GB2312" w:cs="仿宋_GB2312"/>
                <w:color w:val="000000"/>
                <w:sz w:val="24"/>
              </w:rPr>
            </w:pPr>
            <w:r>
              <w:rPr>
                <w:rFonts w:hint="eastAsia" w:ascii="华文楷体" w:hAnsi="华文楷体" w:eastAsia="华文楷体" w:cs="仿宋_GB2312"/>
                <w:color w:val="000000"/>
                <w:sz w:val="24"/>
              </w:rPr>
              <w:t>——优化网络购物体验。</w:t>
            </w:r>
            <w:r>
              <w:rPr>
                <w:rFonts w:hint="eastAsia" w:ascii="仿宋_GB2312" w:hAnsi="仿宋_GB2312" w:cs="仿宋_GB2312"/>
                <w:color w:val="000000"/>
                <w:sz w:val="24"/>
              </w:rPr>
              <w:t>基于城市三维地理信息模型及BIM建筑信息模型数据，建立“全域、全要素、高精度、实时动态”的三维实景侨乡进口商品城，实现对现实世界的精准建模和实时感知。在网上侨乡进口商品城打造一个服务于线上和线下消费者的进口名品展销和体验中心，加载VR虚拟技术，提升网络购物的体验和商品呈现的真实度。</w:t>
            </w:r>
          </w:p>
          <w:p>
            <w:pPr>
              <w:adjustRightInd w:val="0"/>
              <w:snapToGrid w:val="0"/>
              <w:spacing w:line="480" w:lineRule="exact"/>
              <w:ind w:firstLine="480" w:firstLineChars="200"/>
              <w:rPr>
                <w:rFonts w:ascii="仿宋_GB2312" w:hAnsi="仿宋_GB2312" w:cs="仿宋_GB2312"/>
                <w:color w:val="000000"/>
                <w:sz w:val="24"/>
              </w:rPr>
            </w:pPr>
            <w:r>
              <w:rPr>
                <w:rFonts w:hint="eastAsia" w:ascii="华文楷体" w:hAnsi="华文楷体" w:eastAsia="华文楷体" w:cs="仿宋_GB2312"/>
                <w:color w:val="000000"/>
                <w:sz w:val="24"/>
              </w:rPr>
              <w:t>——提升网络销售能力。</w:t>
            </w:r>
            <w:r>
              <w:rPr>
                <w:rFonts w:hint="eastAsia" w:ascii="仿宋_GB2312" w:hAnsi="仿宋_GB2312" w:cs="仿宋_GB2312"/>
                <w:color w:val="000000"/>
                <w:sz w:val="24"/>
              </w:rPr>
              <w:t>充分发挥网络的分销潜力，引入专业的电子商务服务机构，针对青田进口名品的产品特点和货源情况，打造专门的电子商务网络分销平台，通过与阿里巴巴、拼多多等电子商务平台的有机衔接，将其打造成青田进口名品的电子商务网络分销运营管理中心。建立完善中国青田进口葡萄酒指数，收集进口葡萄酒销售企业的相关数据，全面反映进口葡萄酒产品价格变动趋势，为政府相关部门制定落实相应的扶持优惠政策提供数据支持。</w:t>
            </w:r>
          </w:p>
          <w:p>
            <w:pPr>
              <w:adjustRightInd w:val="0"/>
              <w:snapToGrid w:val="0"/>
              <w:spacing w:line="480" w:lineRule="exact"/>
              <w:ind w:firstLine="480" w:firstLineChars="200"/>
              <w:rPr>
                <w:rFonts w:ascii="仿宋_GB2312" w:hAnsi="仿宋_GB2312" w:cs="仿宋_GB2312"/>
                <w:color w:val="000000"/>
                <w:sz w:val="24"/>
              </w:rPr>
            </w:pPr>
            <w:r>
              <w:rPr>
                <w:rFonts w:hint="eastAsia" w:ascii="华文楷体" w:hAnsi="华文楷体" w:eastAsia="华文楷体" w:cs="仿宋_GB2312"/>
                <w:color w:val="000000"/>
                <w:sz w:val="24"/>
              </w:rPr>
              <w:t>——完善物流配送体系。</w:t>
            </w:r>
            <w:r>
              <w:rPr>
                <w:rFonts w:hint="eastAsia" w:ascii="仿宋_GB2312" w:hAnsi="仿宋_GB2312" w:cs="仿宋_GB2312"/>
                <w:color w:val="000000"/>
                <w:sz w:val="24"/>
              </w:rPr>
              <w:t>基于青田侨乡进口商品城已有的仓储设施和物流服务体系，按照电子商务网络销售（B2C）和电子商务网络分销（B2R）的业务需求，进行物流硬件设施的改进和软件体系的再设计，打造一个服务于青田进口货品的电子商务网货集散、分拨与配送中心。</w:t>
            </w:r>
          </w:p>
        </w:tc>
      </w:tr>
    </w:tbl>
    <w:p>
      <w:pPr>
        <w:ind w:firstLine="640" w:firstLineChars="200"/>
        <w:rPr>
          <w:rFonts w:ascii="仿宋" w:hAnsi="仿宋" w:eastAsia="仿宋" w:cs="仿宋"/>
          <w:bCs/>
          <w:sz w:val="32"/>
          <w:szCs w:val="32"/>
        </w:rPr>
      </w:pP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2、推进“数字+服务”深度融合</w:t>
      </w:r>
    </w:p>
    <w:p>
      <w:pPr>
        <w:ind w:firstLine="640" w:firstLineChars="200"/>
        <w:rPr>
          <w:rFonts w:ascii="仿宋" w:hAnsi="仿宋" w:eastAsia="仿宋" w:cs="仿宋"/>
          <w:b/>
          <w:bCs/>
          <w:sz w:val="32"/>
          <w:szCs w:val="32"/>
        </w:rPr>
      </w:pPr>
      <w:r>
        <w:rPr>
          <w:rFonts w:hint="eastAsia" w:ascii="楷体" w:hAnsi="楷体" w:eastAsia="楷体" w:cs="仿宋"/>
          <w:bCs/>
          <w:sz w:val="32"/>
          <w:szCs w:val="32"/>
        </w:rPr>
        <w:t>——发展数字金融服务。</w:t>
      </w:r>
      <w:r>
        <w:rPr>
          <w:rFonts w:hint="eastAsia" w:ascii="仿宋" w:hAnsi="仿宋" w:eastAsia="仿宋" w:cs="仿宋"/>
          <w:bCs/>
          <w:sz w:val="32"/>
          <w:szCs w:val="32"/>
        </w:rPr>
        <w:t>充分利用青田得天独厚的华侨资源，依托华侨总部经济大楼，审慎、规范发展第三方支付、供应链金融、网络信贷、电商金融、股权众筹融资等数字金融服务新业态，</w:t>
      </w:r>
      <w:r>
        <w:rPr>
          <w:rFonts w:ascii="仿宋" w:hAnsi="仿宋" w:eastAsia="仿宋" w:cs="仿宋"/>
          <w:bCs/>
          <w:sz w:val="32"/>
          <w:szCs w:val="32"/>
        </w:rPr>
        <w:t>支持基于云计算、大数据、人工智能、区块链等新技术的金融产品创新</w:t>
      </w:r>
      <w:r>
        <w:rPr>
          <w:rFonts w:hint="eastAsia" w:ascii="仿宋" w:hAnsi="仿宋" w:eastAsia="仿宋" w:cs="仿宋"/>
          <w:bCs/>
          <w:sz w:val="32"/>
          <w:szCs w:val="32"/>
        </w:rPr>
        <w:t>。充分利用新一代信息技术，强化金融科技监管，加强对小额贷款公司、融资性担保公司等金融业态的事中监测，防范区域金融风险。</w:t>
      </w:r>
    </w:p>
    <w:p>
      <w:pPr>
        <w:ind w:firstLine="640" w:firstLineChars="200"/>
        <w:rPr>
          <w:rFonts w:ascii="仿宋" w:hAnsi="仿宋" w:eastAsia="仿宋" w:cs="仿宋"/>
          <w:b/>
          <w:bCs/>
          <w:sz w:val="32"/>
          <w:szCs w:val="32"/>
        </w:rPr>
      </w:pPr>
      <w:r>
        <w:rPr>
          <w:rFonts w:hint="eastAsia" w:ascii="楷体" w:hAnsi="楷体" w:eastAsia="楷体" w:cs="仿宋"/>
          <w:bCs/>
          <w:sz w:val="32"/>
          <w:szCs w:val="32"/>
        </w:rPr>
        <w:t>——发展智慧物流服务。</w:t>
      </w:r>
      <w:r>
        <w:rPr>
          <w:rFonts w:hint="eastAsia" w:ascii="仿宋" w:hAnsi="仿宋" w:eastAsia="仿宋" w:cs="仿宋"/>
          <w:bCs/>
          <w:sz w:val="32"/>
          <w:szCs w:val="32"/>
        </w:rPr>
        <w:t>在石雕、鞋革服装、</w:t>
      </w:r>
      <w:r>
        <w:rPr>
          <w:rFonts w:hint="eastAsia" w:ascii="仿宋" w:hAnsi="仿宋" w:eastAsia="仿宋"/>
          <w:sz w:val="32"/>
          <w:szCs w:val="32"/>
        </w:rPr>
        <w:t>机械电器、泵阀、</w:t>
      </w:r>
      <w:r>
        <w:rPr>
          <w:rFonts w:hint="eastAsia" w:ascii="仿宋" w:hAnsi="仿宋" w:eastAsia="仿宋" w:cs="仿宋"/>
          <w:bCs/>
          <w:sz w:val="32"/>
          <w:szCs w:val="32"/>
        </w:rPr>
        <w:t>农产品等行业开展智能仓储试点，推广使用电子数据交换、货物分拣、自动引导车辆等智能仓储技术，实现基于大数据技术实现仓储设施与货物的实时跟踪、网络化管理及仓库信息的高度共享。以温溪物流园区为试点，建立无人仓等新一代智能物流设施，完善智能物流配送体系，支持建立智慧化共同配送分拨调配平台，提供路径优化等公共服务，实现供应商、门店、用户和配送车辆等各环节的精准对接，构建互联互通的智能物流网络。</w:t>
      </w:r>
    </w:p>
    <w:p>
      <w:pPr>
        <w:ind w:firstLine="643" w:firstLineChars="200"/>
        <w:rPr>
          <w:rFonts w:ascii="楷体" w:hAnsi="楷体" w:eastAsia="楷体" w:cs="仿宋"/>
          <w:bCs/>
          <w:sz w:val="32"/>
          <w:szCs w:val="32"/>
        </w:rPr>
      </w:pPr>
      <w:r>
        <w:rPr>
          <w:rFonts w:hint="eastAsia" w:ascii="仿宋" w:hAnsi="仿宋" w:eastAsia="仿宋" w:cs="仿宋"/>
          <w:b/>
          <w:bCs/>
          <w:sz w:val="32"/>
          <w:szCs w:val="32"/>
        </w:rPr>
        <w:t>3、培育数字消费新热点</w:t>
      </w:r>
    </w:p>
    <w:p>
      <w:pPr>
        <w:spacing w:line="360" w:lineRule="auto"/>
        <w:ind w:firstLine="640" w:firstLineChars="200"/>
        <w:rPr>
          <w:rFonts w:ascii="仿宋" w:hAnsi="仿宋" w:eastAsia="仿宋" w:cs="仿宋"/>
          <w:bCs/>
          <w:sz w:val="32"/>
          <w:szCs w:val="32"/>
        </w:rPr>
      </w:pPr>
      <w:r>
        <w:rPr>
          <w:rFonts w:hint="eastAsia" w:ascii="楷体" w:hAnsi="楷体" w:eastAsia="楷体" w:cs="仿宋"/>
          <w:bCs/>
          <w:sz w:val="32"/>
          <w:szCs w:val="32"/>
        </w:rPr>
        <w:t>——智慧旅游服务。</w:t>
      </w:r>
      <w:r>
        <w:rPr>
          <w:rFonts w:hint="eastAsia" w:ascii="仿宋" w:hAnsi="仿宋" w:eastAsia="仿宋" w:cs="仿宋"/>
          <w:bCs/>
          <w:sz w:val="32"/>
          <w:szCs w:val="32"/>
        </w:rPr>
        <w:t>夯实景区、酒店、民宿、旅行社、商场等数字基础设施，</w:t>
      </w:r>
      <w:r>
        <w:rPr>
          <w:rFonts w:ascii="仿宋" w:hAnsi="仿宋" w:eastAsia="仿宋" w:cs="仿宋"/>
          <w:bCs/>
          <w:sz w:val="32"/>
          <w:szCs w:val="32"/>
        </w:rPr>
        <w:t>实现</w:t>
      </w:r>
      <w:r>
        <w:rPr>
          <w:rFonts w:hint="eastAsia" w:ascii="仿宋" w:hAnsi="仿宋" w:eastAsia="仿宋" w:cs="仿宋"/>
          <w:bCs/>
          <w:sz w:val="32"/>
          <w:szCs w:val="32"/>
        </w:rPr>
        <w:t>石门洞、千峡湖等</w:t>
      </w:r>
      <w:r>
        <w:rPr>
          <w:rFonts w:ascii="仿宋" w:hAnsi="仿宋" w:eastAsia="仿宋" w:cs="仿宋"/>
          <w:bCs/>
          <w:sz w:val="32"/>
          <w:szCs w:val="32"/>
        </w:rPr>
        <w:t>重点旅游区无线网络</w:t>
      </w:r>
      <w:r>
        <w:rPr>
          <w:rFonts w:hint="eastAsia" w:ascii="仿宋" w:hAnsi="仿宋" w:eastAsia="仿宋" w:cs="仿宋"/>
          <w:bCs/>
          <w:sz w:val="32"/>
          <w:szCs w:val="32"/>
        </w:rPr>
        <w:t>、智能</w:t>
      </w:r>
      <w:r>
        <w:rPr>
          <w:rFonts w:ascii="仿宋" w:hAnsi="仿宋" w:eastAsia="仿宋" w:cs="仿宋"/>
          <w:bCs/>
          <w:sz w:val="32"/>
          <w:szCs w:val="32"/>
        </w:rPr>
        <w:t>基础设施全覆盖</w:t>
      </w:r>
      <w:r>
        <w:rPr>
          <w:rFonts w:hint="eastAsia" w:ascii="仿宋" w:hAnsi="仿宋" w:eastAsia="仿宋" w:cs="仿宋"/>
          <w:bCs/>
          <w:sz w:val="32"/>
          <w:szCs w:val="32"/>
        </w:rPr>
        <w:t>。加快完善县旅游大数据中心，推进与市旅游大数据中心对接，提供涉旅数据的采集、存储、挖掘、应用所需的基础软、硬件环境。在石雕文化旅游区、石门洞、千峡湖风景区等主要景点和石雕特色小镇、欧陆风情小镇、侨乡进口商品城等旅游综合体，部署智能旅游服务机器人、VR体验系统，搭建支持交互的智能屏等旅游信息互动终端，实现在导游导览、景点解说、信息咨询等方面的智能化应用。推进“一机游”青田，通过APP、微信公众号、支付宝等，全面覆盖游客在青田的游前、游中、游后的各项需求。率先建设青田智慧旅游体验平台，提供深度浸入式旅游体验服务。</w:t>
      </w:r>
    </w:p>
    <w:p>
      <w:pPr>
        <w:ind w:firstLine="640" w:firstLineChars="200"/>
        <w:rPr>
          <w:rFonts w:ascii="仿宋" w:hAnsi="仿宋" w:eastAsia="仿宋" w:cs="仿宋"/>
          <w:bCs/>
          <w:sz w:val="32"/>
          <w:szCs w:val="32"/>
        </w:rPr>
      </w:pPr>
      <w:r>
        <w:rPr>
          <w:rFonts w:hint="eastAsia" w:ascii="楷体" w:hAnsi="楷体" w:eastAsia="楷体" w:cs="仿宋"/>
          <w:bCs/>
          <w:sz w:val="32"/>
          <w:szCs w:val="32"/>
        </w:rPr>
        <w:t>——智慧健康服务。</w:t>
      </w:r>
      <w:r>
        <w:rPr>
          <w:rFonts w:hint="eastAsia" w:ascii="仿宋" w:hAnsi="仿宋" w:eastAsia="仿宋" w:cs="仿宋"/>
          <w:bCs/>
          <w:sz w:val="32"/>
          <w:szCs w:val="32"/>
        </w:rPr>
        <w:t>依托青田县优质生态环境和生活环境，抓住我县医疗改革和医疗卫生发展的机遇，加快建立快速精准的智能医疗服务体系，推进以患者为中心的服务智能化，开展服务流程优化再造，提供导医、预约、支付、查询等信息化应用服务，实现医疗资源使用效率与患者体验“双提升”。提升区域医疗服务网络平台建设，加快完善预约挂号系统、分级诊疗系统等建设，推广远程医疗服务。建立智能家庭医生签约服务系统，延伸居家健康管理服务，发展健康教育、慢性病管理、个性化健康管理、互联网健康咨询等智慧健康服务模式。</w:t>
      </w:r>
    </w:p>
    <w:p>
      <w:pPr>
        <w:ind w:firstLine="640" w:firstLineChars="200"/>
        <w:rPr>
          <w:rFonts w:ascii="仿宋" w:hAnsi="仿宋" w:eastAsia="仿宋" w:cs="仿宋"/>
          <w:bCs/>
          <w:sz w:val="32"/>
          <w:szCs w:val="32"/>
        </w:rPr>
      </w:pPr>
      <w:r>
        <w:rPr>
          <w:rFonts w:hint="eastAsia" w:ascii="楷体" w:hAnsi="楷体" w:eastAsia="楷体" w:cs="仿宋"/>
          <w:bCs/>
          <w:sz w:val="32"/>
          <w:szCs w:val="32"/>
        </w:rPr>
        <w:t>——智慧养老服务。</w:t>
      </w:r>
      <w:r>
        <w:rPr>
          <w:rFonts w:hint="eastAsia" w:ascii="仿宋" w:hAnsi="仿宋" w:eastAsia="仿宋" w:cs="仿宋"/>
          <w:bCs/>
          <w:sz w:val="32"/>
          <w:szCs w:val="32"/>
        </w:rPr>
        <w:t>鼓励民间投资将原条件较好的农村敬老院改造成社区嵌入式微型养老护理机构，加大视听辅助设备、物理辅助设备等智能设备的普及力度，增强养老机构的医疗、康复、护理、保健等智慧健康养老服务能力。确定2个村（社区）为智能养老社区试点单位，建立以运用一键呼叫、记录枕、智能手环等智能养老产品为主体的智能养老社区，打造以智能化新生活为特色的未来社区样板。支持社会资本以新建或改扩建形式举办智能老年病医院、智能护理院等机构，基本形成覆盖全生命周期的智慧健康养老服务体系。利用千峡湖生态资源和得天独厚的岭南水乡资源，开发疗养度假、休闲养生等相结合的产品，建立智能化中医养生服务体系。</w:t>
      </w:r>
    </w:p>
    <w:p>
      <w:pPr>
        <w:spacing w:before="156" w:beforeLines="50"/>
        <w:ind w:firstLine="643" w:firstLineChars="200"/>
        <w:outlineLvl w:val="1"/>
        <w:rPr>
          <w:rFonts w:ascii="楷体" w:hAnsi="楷体" w:eastAsia="楷体" w:cs="楷体"/>
          <w:b/>
          <w:sz w:val="32"/>
          <w:szCs w:val="32"/>
        </w:rPr>
      </w:pPr>
      <w:bookmarkStart w:id="14" w:name="_Toc14440759"/>
      <w:r>
        <w:rPr>
          <w:rFonts w:hint="eastAsia" w:ascii="楷体" w:hAnsi="楷体" w:eastAsia="楷体" w:cs="楷体"/>
          <w:b/>
          <w:sz w:val="32"/>
          <w:szCs w:val="32"/>
        </w:rPr>
        <w:t>（三）聚焦数据驱动，加快形成数字化赋能新动力。</w:t>
      </w:r>
      <w:bookmarkEnd w:id="14"/>
    </w:p>
    <w:p>
      <w:pPr>
        <w:ind w:firstLine="643" w:firstLineChars="200"/>
        <w:rPr>
          <w:rFonts w:ascii="仿宋" w:hAnsi="仿宋" w:eastAsia="仿宋" w:cs="仿宋"/>
          <w:b/>
          <w:bCs/>
          <w:sz w:val="32"/>
          <w:szCs w:val="32"/>
        </w:rPr>
      </w:pPr>
      <w:r>
        <w:rPr>
          <w:rFonts w:hint="eastAsia" w:ascii="仿宋" w:hAnsi="仿宋" w:eastAsia="仿宋" w:cs="仿宋"/>
          <w:b/>
          <w:bCs/>
          <w:sz w:val="32"/>
          <w:szCs w:val="32"/>
        </w:rPr>
        <w:t>1、推进数据开放和应用</w:t>
      </w:r>
    </w:p>
    <w:p>
      <w:pPr>
        <w:ind w:firstLine="640" w:firstLineChars="200"/>
        <w:rPr>
          <w:rFonts w:ascii="仿宋" w:hAnsi="仿宋" w:eastAsia="仿宋" w:cs="仿宋"/>
          <w:bCs/>
          <w:sz w:val="32"/>
          <w:szCs w:val="32"/>
        </w:rPr>
      </w:pPr>
      <w:r>
        <w:rPr>
          <w:rFonts w:ascii="楷体" w:hAnsi="楷体" w:eastAsia="楷体" w:cs="仿宋"/>
          <w:bCs/>
          <w:sz w:val="32"/>
          <w:szCs w:val="32"/>
        </w:rPr>
        <w:t>——</w:t>
      </w:r>
      <w:r>
        <w:rPr>
          <w:rFonts w:hint="eastAsia" w:ascii="楷体" w:hAnsi="楷体" w:eastAsia="楷体" w:cs="仿宋"/>
          <w:bCs/>
          <w:sz w:val="32"/>
          <w:szCs w:val="32"/>
        </w:rPr>
        <w:t>推进数据资源归集和共享。</w:t>
      </w:r>
      <w:r>
        <w:rPr>
          <w:rFonts w:hint="eastAsia" w:ascii="仿宋" w:hAnsi="仿宋" w:eastAsia="仿宋" w:cs="仿宋"/>
          <w:bCs/>
          <w:sz w:val="32"/>
          <w:szCs w:val="32"/>
        </w:rPr>
        <w:t>依托统一政务数据共享交换平台，加快推进行政审批中使用频率较高的数据资源归集共享，形成人口、企业、婚姻、不动产、社保、机动车等综合数据库。建立政务信息资源共享目录，支撑政务数据资源实现跨层级、跨区域、跨部门的共享交换和协同应用。开通县级数据集中共享平台，设立共享数据专窗，在严格管控数据安全的前提下，向各部门提供网上信息核验服务。每年更新并发布年度政务数据开放计划和数据目录，优先推进医疗、社保、环境、交通、旅游、气象等领域的数据资源脱敏后向社会开放。</w:t>
      </w:r>
    </w:p>
    <w:p>
      <w:pPr>
        <w:ind w:firstLine="640" w:firstLineChars="200"/>
        <w:rPr>
          <w:rFonts w:ascii="仿宋" w:hAnsi="仿宋" w:eastAsia="仿宋" w:cs="仿宋"/>
          <w:bCs/>
          <w:sz w:val="32"/>
          <w:szCs w:val="32"/>
        </w:rPr>
      </w:pPr>
      <w:r>
        <w:rPr>
          <w:rFonts w:ascii="楷体" w:hAnsi="楷体" w:eastAsia="楷体" w:cs="仿宋"/>
          <w:bCs/>
          <w:sz w:val="32"/>
          <w:szCs w:val="32"/>
        </w:rPr>
        <w:t>——</w:t>
      </w:r>
      <w:r>
        <w:rPr>
          <w:rFonts w:hint="eastAsia" w:ascii="楷体" w:hAnsi="楷体" w:eastAsia="楷体" w:cs="仿宋"/>
          <w:bCs/>
          <w:sz w:val="32"/>
          <w:szCs w:val="32"/>
        </w:rPr>
        <w:t>加快基于政务数据应用的政府服务转型。</w:t>
      </w:r>
      <w:r>
        <w:rPr>
          <w:rFonts w:hint="eastAsia" w:ascii="仿宋" w:hAnsi="仿宋" w:eastAsia="仿宋" w:cs="仿宋"/>
          <w:bCs/>
          <w:sz w:val="32"/>
          <w:szCs w:val="32"/>
        </w:rPr>
        <w:t>加大对政务服务网的推广使用，不断推动互联网+政务服务向乡镇街道、村（社区）全覆盖，加快推行电子证照、电子文件、电子印章的应用，为群众和企业办事提供无差别受理服务，实现政务服务事项的一窗通办、一网通办、一证通办、一城通办，努力实现“线上为主、线下为辅”服务模式的转型。依托青田县视频监控数据共享管理平台，加快社会治理、经济运行、民生服务、安全预警等数据集成，构建政府决策、指挥支撑大数据平台，提升决策指挥能力。</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2、推进数据驱动产业发展</w:t>
      </w:r>
    </w:p>
    <w:p>
      <w:pPr>
        <w:ind w:firstLine="640" w:firstLineChars="200"/>
        <w:rPr>
          <w:rFonts w:ascii="仿宋" w:hAnsi="仿宋" w:eastAsia="仿宋" w:cs="仿宋"/>
          <w:b/>
          <w:bCs/>
          <w:sz w:val="32"/>
          <w:szCs w:val="32"/>
        </w:rPr>
      </w:pPr>
      <w:r>
        <w:rPr>
          <w:rFonts w:ascii="楷体" w:hAnsi="楷体" w:eastAsia="楷体" w:cs="仿宋"/>
          <w:bCs/>
          <w:sz w:val="32"/>
          <w:szCs w:val="32"/>
        </w:rPr>
        <w:t>——</w:t>
      </w:r>
      <w:r>
        <w:rPr>
          <w:rFonts w:hint="eastAsia" w:ascii="楷体" w:hAnsi="楷体" w:eastAsia="楷体" w:cs="仿宋"/>
          <w:bCs/>
          <w:sz w:val="32"/>
          <w:szCs w:val="32"/>
        </w:rPr>
        <w:t>推进数据赋能制造业升级。</w:t>
      </w:r>
      <w:r>
        <w:rPr>
          <w:rFonts w:hint="eastAsia" w:ascii="仿宋" w:hAnsi="仿宋" w:eastAsia="仿宋" w:cs="仿宋"/>
          <w:bCs/>
          <w:sz w:val="32"/>
          <w:szCs w:val="32"/>
        </w:rPr>
        <w:t>加快建设青田县工业大数据平台，加强与金融、保险及工业企业等的数据联通，面向全县工业企业、政府部门及服务机构提供精准信贷及动态跟进、精准保险、亩产效益评价等服务。围绕青田石雕等特色产业，鼓励大企业探索建立全局性的行业大数据平台，推进原材料、新产品、新模型、新设计等石雕行业各类信息的数据化，深度开发利用数据，建立企业、行业决策体系。</w:t>
      </w:r>
      <w:r>
        <w:rPr>
          <w:rFonts w:ascii="仿宋" w:hAnsi="仿宋" w:eastAsia="仿宋" w:cs="仿宋"/>
          <w:b/>
          <w:bCs/>
          <w:sz w:val="32"/>
          <w:szCs w:val="32"/>
        </w:rPr>
        <w:t xml:space="preserve"> </w:t>
      </w:r>
    </w:p>
    <w:p>
      <w:pPr>
        <w:ind w:firstLine="640" w:firstLineChars="200"/>
        <w:rPr>
          <w:rFonts w:ascii="仿宋" w:hAnsi="仿宋" w:eastAsia="仿宋" w:cs="仿宋"/>
          <w:bCs/>
          <w:sz w:val="32"/>
          <w:szCs w:val="32"/>
        </w:rPr>
      </w:pPr>
      <w:r>
        <w:rPr>
          <w:rFonts w:hint="eastAsia" w:ascii="楷体" w:hAnsi="楷体" w:eastAsia="楷体" w:cs="仿宋"/>
          <w:bCs/>
          <w:sz w:val="32"/>
          <w:szCs w:val="32"/>
        </w:rPr>
        <w:t>——推进数字赋能农业转型。</w:t>
      </w:r>
      <w:r>
        <w:rPr>
          <w:rFonts w:hint="eastAsia" w:ascii="仿宋" w:hAnsi="仿宋" w:eastAsia="仿宋" w:cs="仿宋"/>
          <w:bCs/>
          <w:sz w:val="32"/>
          <w:szCs w:val="32"/>
        </w:rPr>
        <w:t>深化数字技术在农业生产、销售等环节的应用，在稻鱼米、杨梅、油茶等农业产业，大力发展可视化生产，积极推广智能监控、自动温控、无人机植保等数字化技术和装备，运用大数据分析市场、营销产品，实现农产品“种得好”、更“卖得好”。健全农产品质量安全智慧监管体系，优化提升追溯系统，实现农产品生产的精准控制及农产品质量的全程溯源。依托阿里巴巴和拼多多等电子商务平台，积极培育农业电子商务市场主体，完善农业电子商务线上线下公共服务体系。</w:t>
      </w:r>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8" w:hRule="atLeast"/>
          <w:jc w:val="center"/>
        </w:trPr>
        <w:tc>
          <w:tcPr>
            <w:tcW w:w="8522" w:type="dxa"/>
          </w:tcPr>
          <w:p>
            <w:pPr>
              <w:adjustRightInd w:val="0"/>
              <w:snapToGrid w:val="0"/>
              <w:spacing w:line="480" w:lineRule="exact"/>
              <w:jc w:val="center"/>
              <w:rPr>
                <w:rFonts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专栏3：石雕行业大数据中心建设工程</w:t>
            </w:r>
          </w:p>
          <w:p>
            <w:pPr>
              <w:adjustRightInd w:val="0"/>
              <w:snapToGrid w:val="0"/>
              <w:spacing w:line="480" w:lineRule="exact"/>
              <w:ind w:firstLine="480" w:firstLineChars="200"/>
              <w:rPr>
                <w:rFonts w:ascii="仿宋_GB2312" w:hAnsi="仿宋_GB2312" w:cs="仿宋_GB2312"/>
                <w:color w:val="000000"/>
                <w:sz w:val="24"/>
              </w:rPr>
            </w:pPr>
            <w:r>
              <w:rPr>
                <w:rFonts w:hint="eastAsia" w:ascii="仿宋_GB2312" w:hAnsi="仿宋_GB2312" w:cs="仿宋_GB2312"/>
                <w:color w:val="000000"/>
                <w:sz w:val="24"/>
              </w:rPr>
              <w:t>充分利用青田石雕行业优势所带来的数据资源，鼓励行业协会、龙头企业、石雕小镇与电商龙头企业、知名大数据企业合作，建设全国石雕产业大数据中心。</w:t>
            </w:r>
          </w:p>
          <w:p>
            <w:pPr>
              <w:adjustRightInd w:val="0"/>
              <w:snapToGrid w:val="0"/>
              <w:spacing w:line="480" w:lineRule="exact"/>
              <w:ind w:firstLine="480" w:firstLineChars="200"/>
              <w:rPr>
                <w:rFonts w:ascii="仿宋_GB2312" w:hAnsi="仿宋_GB2312" w:cs="仿宋_GB2312"/>
                <w:color w:val="000000"/>
                <w:sz w:val="24"/>
              </w:rPr>
            </w:pPr>
            <w:r>
              <w:rPr>
                <w:rFonts w:hint="eastAsia" w:ascii="华文楷体" w:hAnsi="华文楷体" w:eastAsia="华文楷体" w:cs="仿宋_GB2312"/>
                <w:color w:val="000000"/>
                <w:sz w:val="24"/>
              </w:rPr>
              <w:t>——加快石雕行业数据汇聚。</w:t>
            </w:r>
            <w:r>
              <w:rPr>
                <w:rFonts w:hint="eastAsia" w:ascii="仿宋_GB2312" w:hAnsi="仿宋_GB2312" w:cs="仿宋_GB2312"/>
                <w:color w:val="000000"/>
                <w:sz w:val="24"/>
              </w:rPr>
              <w:t>积极推广全国统一的石雕产业二维码识别体系应用，并依托中国青田石网，不断汇聚每一个石雕工艺品的生产、销售、售后等信息数据，建立石雕产品数据库；加快石雕企业与知名大数据企业、石雕领域科研机构、国家石雕鉴定检测机构等合作，充分利用云计算、物联网、大数据等技术，对石雕作品的工艺技术参数、市场需求数据等进行收集、分析和深度挖掘，以大数据助力石雕市场空间拓展和产业创新发展。</w:t>
            </w:r>
          </w:p>
          <w:p>
            <w:pPr>
              <w:adjustRightInd w:val="0"/>
              <w:snapToGrid w:val="0"/>
              <w:spacing w:line="480" w:lineRule="exact"/>
              <w:ind w:firstLine="480" w:firstLineChars="200"/>
              <w:rPr>
                <w:rFonts w:ascii="仿宋_GB2312" w:hAnsi="仿宋_GB2312" w:cs="仿宋_GB2312"/>
                <w:color w:val="000000"/>
                <w:sz w:val="24"/>
              </w:rPr>
            </w:pPr>
            <w:r>
              <w:rPr>
                <w:rFonts w:hint="eastAsia" w:ascii="华文楷体" w:hAnsi="华文楷体" w:eastAsia="华文楷体" w:cs="仿宋_GB2312"/>
                <w:color w:val="000000"/>
                <w:sz w:val="24"/>
              </w:rPr>
              <w:t>——建设数字化石雕设计创意平台。</w:t>
            </w:r>
            <w:r>
              <w:rPr>
                <w:rFonts w:hint="eastAsia" w:ascii="仿宋_GB2312" w:hAnsi="仿宋_GB2312" w:cs="仿宋_GB2312"/>
                <w:color w:val="000000"/>
                <w:sz w:val="24"/>
              </w:rPr>
              <w:t>按照省级公共服务平台标准建设3D雕刻创新中心，为石雕企业提供逆向设计、快速原型开发、构型与装配验证、功能测试、设计交流、检测分析等服务。</w:t>
            </w:r>
          </w:p>
          <w:p>
            <w:pPr>
              <w:adjustRightInd w:val="0"/>
              <w:snapToGrid w:val="0"/>
              <w:spacing w:line="480" w:lineRule="exact"/>
              <w:ind w:firstLine="480" w:firstLineChars="200"/>
              <w:rPr>
                <w:rFonts w:ascii="仿宋_GB2312" w:hAnsi="仿宋_GB2312" w:cs="仿宋_GB2312"/>
                <w:color w:val="000000"/>
                <w:sz w:val="24"/>
              </w:rPr>
            </w:pPr>
            <w:r>
              <w:rPr>
                <w:rFonts w:hint="eastAsia" w:ascii="华文楷体" w:hAnsi="华文楷体" w:eastAsia="华文楷体" w:cs="仿宋_GB2312"/>
                <w:color w:val="000000"/>
                <w:sz w:val="24"/>
              </w:rPr>
              <w:t>——提升石雕行业电商平台建设。</w:t>
            </w:r>
            <w:r>
              <w:rPr>
                <w:rFonts w:hint="eastAsia" w:ascii="仿宋_GB2312" w:hAnsi="仿宋_GB2312" w:cs="仿宋_GB2312"/>
                <w:color w:val="000000"/>
                <w:sz w:val="24"/>
              </w:rPr>
              <w:t>从青田石雕矿石资源的开采、生产、设计、制作、发布、交易的融合渠道平台建设起步，打造一个集企业资源、创意设计资源、社交化资源为一体的，融合石雕产业品类、渠道、线上线下经营模式的电商平台。</w:t>
            </w:r>
          </w:p>
        </w:tc>
      </w:tr>
    </w:tbl>
    <w:p>
      <w:pPr>
        <w:spacing w:before="156" w:beforeLines="50"/>
        <w:ind w:firstLine="643" w:firstLineChars="200"/>
        <w:outlineLvl w:val="1"/>
        <w:rPr>
          <w:rFonts w:ascii="楷体" w:hAnsi="楷体" w:eastAsia="楷体" w:cs="楷体"/>
          <w:b/>
          <w:sz w:val="32"/>
          <w:szCs w:val="32"/>
        </w:rPr>
      </w:pPr>
      <w:bookmarkStart w:id="15" w:name="_Toc14440760"/>
      <w:r>
        <w:rPr>
          <w:rFonts w:hint="eastAsia" w:ascii="楷体" w:hAnsi="楷体" w:eastAsia="楷体" w:cs="楷体"/>
          <w:b/>
          <w:sz w:val="32"/>
          <w:szCs w:val="32"/>
        </w:rPr>
        <w:t>（四）聚焦创新引领，培育发展数字经济核心产业。</w:t>
      </w:r>
      <w:bookmarkEnd w:id="15"/>
    </w:p>
    <w:p>
      <w:pPr>
        <w:ind w:firstLine="643" w:firstLineChars="200"/>
        <w:rPr>
          <w:rFonts w:ascii="仿宋" w:hAnsi="仿宋" w:eastAsia="仿宋" w:cs="仿宋"/>
          <w:b/>
          <w:bCs/>
          <w:sz w:val="32"/>
          <w:szCs w:val="32"/>
        </w:rPr>
      </w:pPr>
      <w:r>
        <w:rPr>
          <w:rFonts w:hint="eastAsia" w:ascii="仿宋" w:hAnsi="仿宋" w:eastAsia="仿宋" w:cs="仿宋"/>
          <w:b/>
          <w:bCs/>
          <w:sz w:val="32"/>
          <w:szCs w:val="32"/>
        </w:rPr>
        <w:t>1、提升发展电子信息制造业</w:t>
      </w:r>
    </w:p>
    <w:p>
      <w:pPr>
        <w:ind w:firstLine="640" w:firstLineChars="200"/>
        <w:rPr>
          <w:rFonts w:ascii="仿宋" w:hAnsi="仿宋" w:eastAsia="仿宋" w:cs="仿宋"/>
          <w:bCs/>
          <w:sz w:val="32"/>
          <w:szCs w:val="32"/>
        </w:rPr>
      </w:pPr>
      <w:r>
        <w:rPr>
          <w:rFonts w:hint="eastAsia" w:ascii="楷体" w:hAnsi="楷体" w:eastAsia="楷体" w:cs="仿宋"/>
          <w:bCs/>
          <w:sz w:val="32"/>
          <w:szCs w:val="32"/>
        </w:rPr>
        <w:t>——做大智能电器产业。</w:t>
      </w:r>
      <w:r>
        <w:rPr>
          <w:rFonts w:hint="eastAsia" w:ascii="仿宋" w:hAnsi="仿宋" w:eastAsia="仿宋" w:cs="仿宋"/>
          <w:bCs/>
          <w:sz w:val="32"/>
          <w:szCs w:val="32"/>
        </w:rPr>
        <w:t>引导培育机械电器行业的系统集成服务商，重点开发智能电器、高效电机等产品。支持发展污水和污泥处理系统等智能化节能环保设备。积极应用新一代专用集成电路和高性能的微处理器，加快开发智能断路器、智能控制保护器、新一代自动转换开关电器、智能化节能型交流接触器等功能完善的智能电器元件产品和智能型配电网络系统产品。积极推进励磁变压器、励磁调节器、励磁控制系统等智能电器配套系统设计。</w:t>
      </w:r>
    </w:p>
    <w:p>
      <w:pPr>
        <w:ind w:firstLine="640" w:firstLineChars="200"/>
        <w:rPr>
          <w:rFonts w:ascii="仿宋" w:hAnsi="仿宋" w:eastAsia="仿宋" w:cs="仿宋"/>
          <w:bCs/>
          <w:sz w:val="32"/>
          <w:szCs w:val="32"/>
        </w:rPr>
      </w:pPr>
      <w:r>
        <w:rPr>
          <w:rFonts w:hint="eastAsia" w:ascii="楷体" w:hAnsi="楷体" w:eastAsia="楷体" w:cs="仿宋"/>
          <w:bCs/>
          <w:sz w:val="32"/>
          <w:szCs w:val="32"/>
        </w:rPr>
        <w:t>——培育智能终端产业。</w:t>
      </w:r>
      <w:r>
        <w:rPr>
          <w:rFonts w:hint="eastAsia" w:ascii="仿宋" w:hAnsi="仿宋" w:eastAsia="仿宋" w:cs="仿宋"/>
          <w:bCs/>
          <w:sz w:val="32"/>
          <w:szCs w:val="32"/>
        </w:rPr>
        <w:t>积极引入软硬件设备商，开发相关如工作手套、头盔、手环、手表等智能可穿戴设备。推动智能可穿戴设备在鞋服行业的应用，积极寻求与小米、乐心等行业领先企业合作，尝试发展新型汗液传感器、使用银质纳米线监测电生理信号的可穿戴传感器，组装具有运动健身追踪功能、具有医疗健康监测功能的智能设备，发展具有智能监测功能的体育健身设备。围绕智能制造企业需求，发展以中小企业为主体的智能终端零部件配套产业，加快发展智能家居终端、智能金融终端、行业嵌入式智能系统等产业。加快发展影像传感器、触控屏、通讯等关键零部件，培育壮大移动智能终端产业。</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2、培育发展新一代信息技术产业</w:t>
      </w:r>
    </w:p>
    <w:p>
      <w:pPr>
        <w:ind w:firstLine="640" w:firstLineChars="200"/>
        <w:rPr>
          <w:rFonts w:ascii="仿宋" w:hAnsi="仿宋" w:eastAsia="仿宋" w:cs="仿宋"/>
          <w:bCs/>
          <w:sz w:val="32"/>
          <w:szCs w:val="32"/>
        </w:rPr>
      </w:pPr>
      <w:r>
        <w:rPr>
          <w:rFonts w:hint="eastAsia" w:ascii="楷体" w:hAnsi="楷体" w:eastAsia="楷体" w:cs="仿宋"/>
          <w:bCs/>
          <w:sz w:val="32"/>
          <w:szCs w:val="32"/>
        </w:rPr>
        <w:t>——培育发展大数据产业。</w:t>
      </w:r>
      <w:r>
        <w:rPr>
          <w:rFonts w:hint="eastAsia" w:ascii="仿宋" w:hAnsi="仿宋" w:eastAsia="仿宋"/>
          <w:sz w:val="32"/>
          <w:szCs w:val="32"/>
        </w:rPr>
        <w:t>围绕数据采集、存储管理、计算处理、分析、知识展现、应用等环节，加快引培大数据服务提供商，大力支持面向工业领域的大数据服务，逐步培育大数据产业，构筑数据存储、数据备份、数据传输、数据挖掘和数据分析的大数据产业链。</w:t>
      </w:r>
      <w:r>
        <w:rPr>
          <w:rFonts w:hint="eastAsia" w:ascii="仿宋" w:hAnsi="仿宋" w:eastAsia="仿宋" w:cs="仿宋"/>
          <w:bCs/>
          <w:sz w:val="32"/>
          <w:szCs w:val="32"/>
        </w:rPr>
        <w:t>围绕青田的石雕产业等特色领域，积极建设石雕云平台工程、大数据中心，推动我县特色行业大数据采集、加工、处理、整合和深加工，孵化青田石雕大数据产业链。</w:t>
      </w:r>
    </w:p>
    <w:p>
      <w:pPr>
        <w:ind w:firstLine="640" w:firstLineChars="200"/>
        <w:rPr>
          <w:rFonts w:ascii="仿宋" w:hAnsi="仿宋" w:eastAsia="仿宋" w:cs="仿宋"/>
          <w:bCs/>
          <w:sz w:val="32"/>
          <w:szCs w:val="32"/>
        </w:rPr>
      </w:pPr>
      <w:r>
        <w:rPr>
          <w:rFonts w:hint="eastAsia" w:ascii="楷体" w:hAnsi="楷体" w:eastAsia="楷体" w:cs="仿宋"/>
          <w:bCs/>
          <w:sz w:val="32"/>
          <w:szCs w:val="32"/>
        </w:rPr>
        <w:t>——培育发展云计算产业。</w:t>
      </w:r>
      <w:r>
        <w:rPr>
          <w:rFonts w:hint="eastAsia" w:ascii="仿宋" w:hAnsi="仿宋" w:eastAsia="仿宋"/>
          <w:sz w:val="32"/>
          <w:szCs w:val="32"/>
        </w:rPr>
        <w:t>推进现有数据中心云化建设，发展政务云以及工业云、电商云、旅游云等行业专有云，加快开发基于云的应用服务。</w:t>
      </w:r>
      <w:r>
        <w:rPr>
          <w:rFonts w:hint="eastAsia" w:ascii="仿宋" w:hAnsi="仿宋" w:eastAsia="仿宋" w:cs="仿宋"/>
          <w:bCs/>
          <w:sz w:val="32"/>
          <w:szCs w:val="32"/>
        </w:rPr>
        <w:t>通过招商引进培育一批云计算服务、大数据开发应用的科技企业和相关的信息软件企业，培育提供云服务的企业梯队集群，形成云服务产业。推进人工智能与云计算技术融合，形成一批云计算应用服务企业，培育壮大云服务产业。</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3、加快发展特色软件和信息服务业</w:t>
      </w:r>
    </w:p>
    <w:p>
      <w:pPr>
        <w:ind w:firstLine="640" w:firstLineChars="200"/>
        <w:rPr>
          <w:rFonts w:ascii="仿宋" w:hAnsi="仿宋" w:eastAsia="仿宋" w:cs="仿宋"/>
          <w:bCs/>
          <w:sz w:val="32"/>
          <w:szCs w:val="32"/>
        </w:rPr>
      </w:pPr>
      <w:r>
        <w:rPr>
          <w:rFonts w:hint="eastAsia" w:ascii="楷体" w:hAnsi="楷体" w:eastAsia="楷体" w:cs="仿宋"/>
          <w:bCs/>
          <w:sz w:val="32"/>
          <w:szCs w:val="32"/>
        </w:rPr>
        <w:t>——大力发展工业软件产业。</w:t>
      </w:r>
      <w:r>
        <w:rPr>
          <w:rFonts w:hint="eastAsia" w:ascii="仿宋" w:hAnsi="仿宋" w:eastAsia="仿宋" w:cs="仿宋"/>
          <w:bCs/>
          <w:sz w:val="32"/>
          <w:szCs w:val="32"/>
        </w:rPr>
        <w:t>引导积极培育嵌入式软件、工控软件、数控系统、工业设计软件、工业仿真软件等工业软件产业。支持具有自主知识产权的软件产品产业化，提高软件服务水平。加快发展系统集成、软件定制、软件测试等软件服务，开发专业应用软件与服务，重点发展计算机辅助工程管理软件领域的制造及工艺软件技术、面向行业的产品数据分析和管理软件技术、基于计算机协同工作的辅助设计软件技术等。大力引进培育一批专注于智慧化、数字化制造解决方案提供商，形成一定规模的智慧生产性服务业。</w:t>
      </w:r>
    </w:p>
    <w:p>
      <w:pPr>
        <w:ind w:firstLine="640" w:firstLineChars="200"/>
        <w:rPr>
          <w:rFonts w:ascii="仿宋" w:hAnsi="仿宋" w:eastAsia="仿宋" w:cs="仿宋"/>
          <w:bCs/>
          <w:sz w:val="32"/>
          <w:szCs w:val="32"/>
        </w:rPr>
      </w:pPr>
      <w:r>
        <w:rPr>
          <w:rFonts w:hint="eastAsia" w:ascii="华文楷体" w:hAnsi="华文楷体" w:eastAsia="华文楷体" w:cs="仿宋"/>
          <w:bCs/>
          <w:sz w:val="32"/>
          <w:szCs w:val="32"/>
        </w:rPr>
        <w:t>——培育发展网络信息服务业。</w:t>
      </w:r>
      <w:r>
        <w:rPr>
          <w:rFonts w:hint="eastAsia" w:ascii="仿宋" w:hAnsi="仿宋" w:eastAsia="仿宋" w:cs="仿宋"/>
          <w:bCs/>
          <w:sz w:val="32"/>
          <w:szCs w:val="32"/>
        </w:rPr>
        <w:t>大力发展信息系统集成服务、信息技术咨询和应用服务、设计开发服务等信息技术增值服务。积极发展基于网络的即时通讯、视频娱乐、动漫游戏、视频监控、异地存储、搜索、支付、位置定位等网络增值服务。支持面向集成化、自动化和智能化的信息服务发展，加快培育下一代互联网、移动互联网等环境下的新兴服务业态。推进传统文化与互联网融合，加快数字阅读、网络视听、动漫游戏、数字出版等网络文化产业发展。</w:t>
      </w:r>
    </w:p>
    <w:p>
      <w:pPr>
        <w:spacing w:before="156" w:beforeLines="50"/>
        <w:ind w:firstLine="643" w:firstLineChars="200"/>
        <w:outlineLvl w:val="1"/>
        <w:rPr>
          <w:rFonts w:ascii="楷体" w:hAnsi="楷体" w:eastAsia="楷体" w:cs="楷体"/>
          <w:b/>
          <w:sz w:val="32"/>
          <w:szCs w:val="32"/>
        </w:rPr>
      </w:pPr>
      <w:bookmarkStart w:id="16" w:name="_Toc14440761"/>
      <w:r>
        <w:rPr>
          <w:rFonts w:hint="eastAsia" w:ascii="楷体" w:hAnsi="楷体" w:eastAsia="楷体" w:cs="楷体"/>
          <w:b/>
          <w:sz w:val="32"/>
          <w:szCs w:val="32"/>
        </w:rPr>
        <w:t>（五）聚焦智慧应用，全面提升数字化服务新能级。</w:t>
      </w:r>
      <w:bookmarkEnd w:id="16"/>
    </w:p>
    <w:p>
      <w:pPr>
        <w:ind w:firstLine="643" w:firstLineChars="200"/>
        <w:rPr>
          <w:rFonts w:ascii="仿宋" w:hAnsi="仿宋" w:eastAsia="仿宋" w:cs="仿宋"/>
          <w:b/>
          <w:bCs/>
          <w:sz w:val="32"/>
          <w:szCs w:val="32"/>
        </w:rPr>
      </w:pPr>
      <w:r>
        <w:rPr>
          <w:rFonts w:hint="eastAsia" w:ascii="仿宋" w:hAnsi="仿宋" w:eastAsia="仿宋" w:cs="仿宋"/>
          <w:b/>
          <w:bCs/>
          <w:sz w:val="32"/>
          <w:szCs w:val="32"/>
        </w:rPr>
        <w:t>1、加快推进城市治理数字化</w:t>
      </w:r>
    </w:p>
    <w:p>
      <w:pPr>
        <w:ind w:firstLine="640" w:firstLineChars="200"/>
        <w:rPr>
          <w:rFonts w:ascii="仿宋" w:hAnsi="仿宋" w:eastAsia="仿宋" w:cs="仿宋"/>
          <w:bCs/>
          <w:sz w:val="32"/>
          <w:szCs w:val="32"/>
        </w:rPr>
      </w:pPr>
      <w:r>
        <w:rPr>
          <w:rFonts w:hint="eastAsia" w:ascii="楷体" w:hAnsi="楷体" w:eastAsia="楷体" w:cs="仿宋"/>
          <w:bCs/>
          <w:sz w:val="32"/>
          <w:szCs w:val="32"/>
        </w:rPr>
        <w:t>——推进智慧城管建设。</w:t>
      </w:r>
      <w:r>
        <w:rPr>
          <w:rFonts w:hint="eastAsia" w:ascii="仿宋" w:hAnsi="仿宋" w:eastAsia="仿宋" w:cs="仿宋"/>
          <w:bCs/>
          <w:sz w:val="32"/>
          <w:szCs w:val="32"/>
        </w:rPr>
        <w:t>拓宽“智慧城管”覆盖面，实现对油竹街道、高湾社区、水南村的数字化管理覆盖，满足日益增长的管理需求。在现有管理体系下进一步规范优化案件派遣处置流程，建立县到镇（街道）、镇（街道）到处置部门、处置部门到处置单位的多级派遣体系，规范优化案件派遣处置流程，提高案件处置效率。深化县城区公共停车位统一管理、统一缴费及违停智能抓拍的智能化停车管理，实现主干道停车管理智能化覆盖率达85%以上，为市民群众提供有序、便捷的智能停车服务。推进物联网技术在垃圾治理、公厕管理、城市照明、市政管网等建设方面的应用，搭建青田垃圾分类智能监管系统、公厕智能监管服务系统、路灯远程监控系统、智慧井盖管理系统等平台，实现城镇一体数字化管理。</w:t>
      </w:r>
    </w:p>
    <w:p>
      <w:pPr>
        <w:ind w:firstLine="640" w:firstLineChars="200"/>
        <w:rPr>
          <w:rFonts w:ascii="仿宋" w:hAnsi="仿宋" w:eastAsia="仿宋" w:cs="仿宋"/>
          <w:bCs/>
          <w:color w:val="FF0000"/>
          <w:sz w:val="32"/>
          <w:szCs w:val="32"/>
        </w:rPr>
      </w:pPr>
      <w:r>
        <w:rPr>
          <w:rFonts w:hint="eastAsia" w:ascii="楷体" w:hAnsi="楷体" w:eastAsia="楷体" w:cs="仿宋"/>
          <w:bCs/>
          <w:sz w:val="32"/>
          <w:szCs w:val="32"/>
        </w:rPr>
        <w:t>——推进智慧交通建设。</w:t>
      </w:r>
      <w:r>
        <w:rPr>
          <w:rFonts w:hint="eastAsia" w:ascii="仿宋" w:hAnsi="仿宋" w:eastAsia="仿宋" w:cs="仿宋"/>
          <w:bCs/>
          <w:sz w:val="32"/>
          <w:szCs w:val="32"/>
        </w:rPr>
        <w:t>完善提升运政智能监控中心建设，全面接入运管、公路、港航、公交等交通资源数据，逐步构建涵盖青田公共交通、城际客运、铁路客运、水路客运、旅游客运、城市道路状况、公路运行状况等与公众出行和交通管理相关的综合交通信息枢纽。优化提升出租车车内数据实时传输系统、公交运行监测平台等功能，实现对青田交通数据运行情况及安全运维的实时掌控。深入推广移动支付、公交电子站牌、公共自行车扫码租车等应用，推进智能公交卡、智能报站、高清监控系统等智能化设备建设，深化公交客流信息采集与处理，进一步提高公共交通运营与管理效率，增强行业管理、决策与应急能力，提升城市公共交通服务与安全水平。丰富“侨乡出行”“智慧出行”等平台功能，建设形式多样的综合交通出行信息服务平台，为公众提供路况信息发布、交通诱导、综合交通等出行服务信息。</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2、加快推进城市服务数字化</w:t>
      </w:r>
    </w:p>
    <w:p>
      <w:pPr>
        <w:ind w:firstLine="640" w:firstLineChars="200"/>
        <w:rPr>
          <w:rFonts w:ascii="仿宋_GB2312" w:hAnsi="宋体" w:eastAsia="仿宋_GB2312"/>
          <w:sz w:val="28"/>
          <w:szCs w:val="28"/>
        </w:rPr>
      </w:pPr>
      <w:r>
        <w:rPr>
          <w:rFonts w:hint="eastAsia" w:ascii="楷体" w:hAnsi="楷体" w:eastAsia="楷体" w:cs="仿宋"/>
          <w:bCs/>
          <w:sz w:val="32"/>
          <w:szCs w:val="32"/>
        </w:rPr>
        <w:t>——推进智慧人社建设。</w:t>
      </w:r>
      <w:r>
        <w:rPr>
          <w:rFonts w:hint="eastAsia" w:ascii="仿宋" w:hAnsi="仿宋" w:eastAsia="仿宋" w:cs="仿宋"/>
          <w:bCs/>
          <w:sz w:val="32"/>
          <w:szCs w:val="32"/>
        </w:rPr>
        <w:t>以“互联网+社保”为抓手，大力推广电子社保卡，丰富和拓展电子社保卡的各项应用，逐步向卫生、社区、银行、民政、文化、旅游等服务领域扩大市民卡的应用范围，推进市民卡的“多卡合一、一卡多用”，让市民享受更多数字化服务体验。依托“丽水掌上人社”、“浙里办A</w:t>
      </w:r>
      <w:r>
        <w:rPr>
          <w:rFonts w:ascii="仿宋" w:hAnsi="仿宋" w:eastAsia="仿宋" w:cs="仿宋"/>
          <w:bCs/>
          <w:sz w:val="32"/>
          <w:szCs w:val="32"/>
        </w:rPr>
        <w:t>PP</w:t>
      </w:r>
      <w:r>
        <w:rPr>
          <w:rFonts w:hint="eastAsia" w:ascii="仿宋" w:hAnsi="仿宋" w:eastAsia="仿宋" w:cs="仿宋"/>
          <w:bCs/>
          <w:sz w:val="32"/>
          <w:szCs w:val="32"/>
        </w:rPr>
        <w:t>”等系统，为群众提供社保卡业务、个人社保信息查询等方面的智能化信息服务，尤其为广大海外华侨提供“跨境域、零上门”办理服务，开拓掌上社保自助办事新模式。进一步拓展网上社保业务向乡镇（街道）和村（社区）延伸，以数字化手段推动“属地化服务”向“网点化服务”转变。优化医保智能审核与监控系统，着力推行驱动式智能化管理模式，确保医保结算信息全程可查询、可监控、可追溯，实现“业务信息数字化传递，业务经办电子化管理”。</w:t>
      </w:r>
    </w:p>
    <w:p>
      <w:pPr>
        <w:ind w:firstLine="640" w:firstLineChars="200"/>
        <w:rPr>
          <w:rFonts w:ascii="仿宋" w:hAnsi="仿宋" w:eastAsia="仿宋" w:cs="仿宋"/>
          <w:bCs/>
          <w:sz w:val="32"/>
          <w:szCs w:val="32"/>
        </w:rPr>
      </w:pPr>
      <w:r>
        <w:rPr>
          <w:rFonts w:hint="eastAsia" w:ascii="楷体" w:hAnsi="楷体" w:eastAsia="楷体" w:cs="仿宋"/>
          <w:bCs/>
          <w:sz w:val="32"/>
          <w:szCs w:val="32"/>
        </w:rPr>
        <w:t>——推进智慧菜场建设。</w:t>
      </w:r>
      <w:r>
        <w:rPr>
          <w:rFonts w:hint="eastAsia" w:ascii="仿宋" w:hAnsi="仿宋" w:eastAsia="仿宋" w:cs="仿宋"/>
          <w:bCs/>
          <w:sz w:val="32"/>
          <w:szCs w:val="32"/>
        </w:rPr>
        <w:t>以全县12个农贸市场为依托，完善网上智慧菜场建设，融入VR技术应用，提升群众购物体验。推广“青青农贸”APP版本、微信小程序、华数电视购物等平台，优化平台购物功能，推广移动闪付服务，提高菜品配送效率，满足人民群众方便购菜的新需求。完善“菜篮子一卡通”项目，推广二维码溯源服务，推动食品安全溯源电子化、交易环节资金清算自动化、管理环节数据监管实时化，确保菜场食品安全可追溯。搭建菜场智能化在线监控平台，实时查看市场运行、现场管理、具体摊位情况，同时融入大数据技术，提升菜场数据分析、智能预测供求关系的能力。</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3、强化数字基础设施支撑</w:t>
      </w:r>
    </w:p>
    <w:p>
      <w:pPr>
        <w:ind w:firstLine="640" w:firstLineChars="200"/>
        <w:rPr>
          <w:rFonts w:ascii="仿宋" w:hAnsi="仿宋" w:eastAsia="仿宋" w:cs="仿宋"/>
          <w:bCs/>
          <w:sz w:val="32"/>
          <w:szCs w:val="32"/>
        </w:rPr>
      </w:pPr>
      <w:r>
        <w:rPr>
          <w:rFonts w:ascii="楷体" w:hAnsi="楷体" w:eastAsia="楷体" w:cs="仿宋"/>
          <w:bCs/>
          <w:sz w:val="32"/>
          <w:szCs w:val="32"/>
        </w:rPr>
        <w:t>——</w:t>
      </w:r>
      <w:r>
        <w:rPr>
          <w:rFonts w:hint="eastAsia" w:ascii="楷体" w:hAnsi="楷体" w:eastAsia="楷体" w:cs="仿宋"/>
          <w:bCs/>
          <w:sz w:val="32"/>
          <w:szCs w:val="32"/>
        </w:rPr>
        <w:t>推进“宽带青田”建设。</w:t>
      </w:r>
      <w:r>
        <w:rPr>
          <w:rFonts w:hint="eastAsia" w:ascii="仿宋" w:hAnsi="仿宋" w:eastAsia="仿宋" w:cs="仿宋"/>
          <w:bCs/>
          <w:sz w:val="32"/>
          <w:szCs w:val="32"/>
        </w:rPr>
        <w:t>加快互联网骨干节点升级，提升网络流量疏通能力，优化互联网骨干网间互联网构架，保障连接性能。加大无线宽带网络建设力度，大力推广“i-zhejiang”无线网络覆盖服务，实现县城公园,广场,商品城市场等主要公共区域范围内wifi全覆盖。加大加快5G网络建设，加快推进IPv6网络规模化商用</w:t>
      </w:r>
      <w:r>
        <w:rPr>
          <w:rFonts w:hint="eastAsia" w:eastAsia="仿宋_GB2312"/>
          <w:color w:val="000000"/>
          <w:sz w:val="32"/>
          <w:szCs w:val="32"/>
        </w:rPr>
        <w:t>。</w:t>
      </w:r>
    </w:p>
    <w:p>
      <w:pPr>
        <w:ind w:firstLine="640" w:firstLineChars="200"/>
        <w:rPr>
          <w:rFonts w:ascii="仿宋" w:hAnsi="仿宋" w:eastAsia="仿宋" w:cs="仿宋"/>
          <w:bCs/>
          <w:sz w:val="32"/>
          <w:szCs w:val="32"/>
        </w:rPr>
      </w:pPr>
      <w:r>
        <w:rPr>
          <w:rFonts w:hint="eastAsia" w:ascii="楷体" w:hAnsi="楷体" w:eastAsia="楷体" w:cs="仿宋"/>
          <w:bCs/>
          <w:sz w:val="32"/>
          <w:szCs w:val="32"/>
        </w:rPr>
        <w:t>——推进“云上青田”建设。</w:t>
      </w:r>
      <w:r>
        <w:rPr>
          <w:rFonts w:hint="eastAsia" w:ascii="仿宋" w:hAnsi="仿宋" w:eastAsia="仿宋" w:cs="仿宋"/>
          <w:bCs/>
          <w:sz w:val="32"/>
          <w:szCs w:val="32"/>
        </w:rPr>
        <w:t>充分利用资源虚拟化技术，整合政务系统内外信息资源，统一数据交换、共享技术标准，建立服务于全县的、分布式的虚拟化云存储资源平台，为全县各项智慧城市应用提供平台支撑。开展传统数据中心整合改造试点，推动数据中心的云设施建设，引导数据中心科学布局、集约智能绿色化发展，为经济和社会各领域的数字化应用提供公共存储空间服务。加快推动青田石雕、进口商品等行业性云数据中心建设，为行业大数据应用提供支撑。</w:t>
      </w:r>
    </w:p>
    <w:p>
      <w:pPr>
        <w:ind w:firstLine="640" w:firstLineChars="200"/>
        <w:rPr>
          <w:rFonts w:ascii="仿宋" w:hAnsi="仿宋" w:eastAsia="仿宋" w:cs="仿宋"/>
          <w:bCs/>
          <w:sz w:val="32"/>
          <w:szCs w:val="32"/>
        </w:rPr>
      </w:pPr>
      <w:r>
        <w:rPr>
          <w:rFonts w:hint="eastAsia" w:ascii="楷体" w:hAnsi="楷体" w:eastAsia="楷体" w:cs="仿宋"/>
          <w:bCs/>
          <w:sz w:val="32"/>
          <w:szCs w:val="32"/>
        </w:rPr>
        <w:t>——推进“物联青田”。</w:t>
      </w:r>
      <w:r>
        <w:rPr>
          <w:rFonts w:ascii="仿宋" w:hAnsi="仿宋" w:eastAsia="仿宋" w:cs="仿宋"/>
          <w:bCs/>
          <w:sz w:val="32"/>
          <w:szCs w:val="32"/>
        </w:rPr>
        <w:t>加快部署物联网感知设施，</w:t>
      </w:r>
      <w:r>
        <w:rPr>
          <w:rFonts w:hint="eastAsia" w:ascii="仿宋" w:hAnsi="仿宋" w:eastAsia="仿宋" w:cs="仿宋"/>
          <w:bCs/>
          <w:sz w:val="32"/>
          <w:szCs w:val="32"/>
        </w:rPr>
        <w:t>综合应用各类监测、传感、监控等感知设备，科学规划，优化布局，智能识别、立体感知城市环境、状态、位置等信息的全方位变化，基本建立青田县多元化的智能感知和物联网络体系，实现对城市管理与运行状态的自动、实时、全面透彻感知，满足城市管理可视、可控需要和精细化管理需要。</w:t>
      </w:r>
      <w:r>
        <w:rPr>
          <w:rFonts w:ascii="仿宋" w:hAnsi="仿宋" w:eastAsia="仿宋" w:cs="仿宋"/>
          <w:bCs/>
          <w:sz w:val="32"/>
          <w:szCs w:val="32"/>
        </w:rPr>
        <w:t>推进物联网技术在公共服务、生产制造等领域</w:t>
      </w:r>
      <w:r>
        <w:rPr>
          <w:rFonts w:hint="eastAsia" w:ascii="仿宋" w:hAnsi="仿宋" w:eastAsia="仿宋" w:cs="仿宋"/>
          <w:bCs/>
          <w:sz w:val="32"/>
          <w:szCs w:val="32"/>
        </w:rPr>
        <w:t>应用，实现</w:t>
      </w:r>
      <w:r>
        <w:rPr>
          <w:rFonts w:ascii="仿宋" w:hAnsi="仿宋" w:eastAsia="仿宋" w:cs="仿宋"/>
          <w:bCs/>
          <w:sz w:val="32"/>
          <w:szCs w:val="32"/>
        </w:rPr>
        <w:t>NB-IoT（窄带物联网）城区全覆盖</w:t>
      </w:r>
      <w:r>
        <w:rPr>
          <w:rFonts w:hint="eastAsia" w:ascii="仿宋" w:hAnsi="仿宋" w:eastAsia="仿宋" w:cs="仿宋"/>
          <w:bCs/>
          <w:sz w:val="32"/>
          <w:szCs w:val="32"/>
        </w:rPr>
        <w:t>。</w:t>
      </w:r>
    </w:p>
    <w:p>
      <w:pPr>
        <w:ind w:firstLine="640" w:firstLineChars="200"/>
        <w:rPr>
          <w:rFonts w:ascii="仿宋" w:hAnsi="仿宋" w:eastAsia="仿宋" w:cs="仿宋"/>
          <w:b/>
          <w:bCs/>
          <w:sz w:val="32"/>
          <w:szCs w:val="32"/>
        </w:rPr>
      </w:pPr>
      <w:r>
        <w:rPr>
          <w:rFonts w:hint="eastAsia" w:ascii="楷体" w:hAnsi="楷体" w:eastAsia="楷体" w:cs="仿宋"/>
          <w:bCs/>
          <w:sz w:val="32"/>
          <w:szCs w:val="32"/>
        </w:rPr>
        <w:t>——提升网络安全保障能力。</w:t>
      </w:r>
      <w:r>
        <w:rPr>
          <w:rFonts w:hint="eastAsia" w:ascii="仿宋" w:hAnsi="仿宋" w:eastAsia="仿宋" w:cs="仿宋"/>
          <w:bCs/>
          <w:sz w:val="32"/>
          <w:szCs w:val="32"/>
        </w:rPr>
        <w:t>积极开展关键信息基础设施网络安全专项检查，梳理排查工业领域工业控制信息系统。完善网络和信息安全应急预案，健全网络安全事件的监测预警和应急处置机制。指导企业做好工业控制系统信息安全防护，开展应急演练。落实信息网络实名登记、网站信息登记备案，电话实名制。强化信息报告和共享，完善市县和县企两级信息联络通报制度，建立重大网络安全事件应急响应机制，切实保障重点敏感时期网络安全和通信安全。</w:t>
      </w:r>
    </w:p>
    <w:p>
      <w:pPr>
        <w:spacing w:before="156" w:beforeLines="50"/>
        <w:ind w:firstLine="643" w:firstLineChars="200"/>
        <w:outlineLvl w:val="1"/>
        <w:rPr>
          <w:rFonts w:ascii="楷体" w:hAnsi="楷体" w:eastAsia="楷体" w:cs="楷体"/>
          <w:b/>
          <w:sz w:val="32"/>
          <w:szCs w:val="32"/>
        </w:rPr>
      </w:pPr>
      <w:bookmarkStart w:id="17" w:name="_Toc14440762"/>
      <w:r>
        <w:rPr>
          <w:rFonts w:hint="eastAsia" w:ascii="楷体" w:hAnsi="楷体" w:eastAsia="楷体" w:cs="楷体"/>
          <w:b/>
          <w:sz w:val="32"/>
          <w:szCs w:val="32"/>
        </w:rPr>
        <w:t>（六）聚焦问海借力，构筑一流数字经济营商环境。</w:t>
      </w:r>
      <w:bookmarkEnd w:id="17"/>
    </w:p>
    <w:p>
      <w:pPr>
        <w:ind w:firstLine="643" w:firstLineChars="200"/>
        <w:rPr>
          <w:rFonts w:ascii="仿宋" w:hAnsi="仿宋" w:eastAsia="仿宋" w:cs="仿宋"/>
          <w:b/>
          <w:bCs/>
          <w:sz w:val="32"/>
          <w:szCs w:val="32"/>
        </w:rPr>
      </w:pPr>
      <w:r>
        <w:rPr>
          <w:rFonts w:hint="eastAsia" w:ascii="仿宋" w:hAnsi="仿宋" w:eastAsia="仿宋" w:cs="仿宋"/>
          <w:b/>
          <w:bCs/>
          <w:sz w:val="32"/>
          <w:szCs w:val="32"/>
        </w:rPr>
        <w:t>1、柔性引培数字经济人才</w:t>
      </w:r>
    </w:p>
    <w:p>
      <w:pPr>
        <w:ind w:firstLine="640" w:firstLineChars="200"/>
        <w:rPr>
          <w:rFonts w:ascii="仿宋" w:hAnsi="仿宋" w:eastAsia="仿宋" w:cs="仿宋"/>
          <w:bCs/>
          <w:sz w:val="32"/>
          <w:szCs w:val="32"/>
        </w:rPr>
      </w:pPr>
      <w:r>
        <w:rPr>
          <w:rFonts w:hint="eastAsia" w:ascii="楷体" w:hAnsi="楷体" w:eastAsia="楷体" w:cs="仿宋"/>
          <w:bCs/>
          <w:sz w:val="32"/>
          <w:szCs w:val="32"/>
        </w:rPr>
        <w:t>——加大人才柔性引进力度。</w:t>
      </w:r>
      <w:r>
        <w:rPr>
          <w:rFonts w:hint="eastAsia" w:ascii="仿宋" w:hAnsi="仿宋" w:eastAsia="仿宋" w:cs="仿宋"/>
          <w:bCs/>
          <w:sz w:val="32"/>
          <w:szCs w:val="32"/>
        </w:rPr>
        <w:t>着眼我县数字经济发展需要，加快引进海内外数字经济领域高层次人才、领军型人才和团队，大力支持高层次人才携带创新成果在青田创新创业。完善县人才激励制度，引导企业建立科技成果发明人成果转化收益分配制度，利用绩效奖励、股权激励、年金制等吸引优秀人才。优化人才服务，完善户籍、就医、住房、子女入学等方面保障，对产业急需的技工人才，在引育和留用上开设绿色通道，为人才发展营造优越环境。</w:t>
      </w:r>
    </w:p>
    <w:p>
      <w:pPr>
        <w:ind w:firstLine="640" w:firstLineChars="200"/>
        <w:rPr>
          <w:rFonts w:ascii="仿宋" w:hAnsi="仿宋" w:eastAsia="仿宋" w:cs="仿宋"/>
          <w:b/>
          <w:bCs/>
          <w:sz w:val="32"/>
          <w:szCs w:val="32"/>
        </w:rPr>
      </w:pPr>
      <w:r>
        <w:rPr>
          <w:rFonts w:hint="eastAsia" w:ascii="楷体" w:hAnsi="楷体" w:eastAsia="楷体" w:cs="仿宋"/>
          <w:bCs/>
          <w:sz w:val="32"/>
          <w:szCs w:val="32"/>
        </w:rPr>
        <w:t>——实施“数字工匠”培育工程。</w:t>
      </w:r>
      <w:r>
        <w:rPr>
          <w:rFonts w:hint="eastAsia" w:ascii="仿宋" w:hAnsi="仿宋" w:eastAsia="仿宋" w:cs="仿宋"/>
          <w:bCs/>
          <w:sz w:val="32"/>
          <w:szCs w:val="32"/>
        </w:rPr>
        <w:t>聚焦数字产业化、产业数字化等重点领域，推进实施“数字工匠”、“数字首席官”培育计划，加大数字技能型人才培养力度。加强与省内外高校、科研院所合作，创新培养机制，制定和落实培养措施，加快信息技术、软件人才实训基地建设，打造网络与信息经济创新型人才、经营管理人才、专业技术人才培训服务平台，培养造就一大批服务于本地数字经济发展的高素质专业人才队伍。</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2、夯实数字经济平台支撑</w:t>
      </w:r>
    </w:p>
    <w:p>
      <w:pPr>
        <w:ind w:firstLine="640" w:firstLineChars="200"/>
        <w:rPr>
          <w:rFonts w:ascii="仿宋" w:hAnsi="仿宋" w:eastAsia="仿宋" w:cs="仿宋"/>
          <w:b/>
          <w:bCs/>
          <w:sz w:val="32"/>
          <w:szCs w:val="32"/>
        </w:rPr>
      </w:pPr>
      <w:r>
        <w:rPr>
          <w:rFonts w:hint="eastAsia" w:ascii="楷体" w:hAnsi="楷体" w:eastAsia="楷体" w:cs="仿宋"/>
          <w:bCs/>
          <w:sz w:val="32"/>
          <w:szCs w:val="32"/>
        </w:rPr>
        <w:t>——提升数字经济双创平台。</w:t>
      </w:r>
      <w:r>
        <w:rPr>
          <w:rFonts w:hint="eastAsia" w:ascii="仿宋" w:hAnsi="仿宋" w:eastAsia="仿宋" w:cs="仿宋"/>
          <w:bCs/>
          <w:sz w:val="32"/>
          <w:szCs w:val="32"/>
        </w:rPr>
        <w:t>鼓励起步、安特、三辰等行业领军，围绕鞋服数字化、仪器仪表、智能电器等生态圈，构建一批低成本、便利化、全要素、开放式的开源社区、互联网实验室、创新梦工场等互联网众创空间。鼓励民间资本、中介机构、投资机构积极创建投资促进型、创客孵化型等各类创新型孵化器，重点支持起步科创园、安特小微企业园等创新创业平台发展。</w:t>
      </w:r>
    </w:p>
    <w:p>
      <w:pPr>
        <w:ind w:firstLine="640" w:firstLineChars="200"/>
        <w:rPr>
          <w:rFonts w:ascii="仿宋" w:hAnsi="仿宋" w:eastAsia="仿宋" w:cs="仿宋"/>
          <w:b/>
          <w:bCs/>
          <w:sz w:val="32"/>
          <w:szCs w:val="32"/>
        </w:rPr>
      </w:pPr>
      <w:r>
        <w:rPr>
          <w:rFonts w:hint="eastAsia" w:ascii="楷体" w:hAnsi="楷体" w:eastAsia="楷体" w:cs="仿宋"/>
          <w:bCs/>
          <w:sz w:val="32"/>
          <w:szCs w:val="32"/>
        </w:rPr>
        <w:t>——建设数字经济创新平台。</w:t>
      </w:r>
      <w:r>
        <w:rPr>
          <w:rFonts w:hint="eastAsia" w:ascii="仿宋" w:hAnsi="仿宋" w:eastAsia="仿宋" w:cs="仿宋"/>
          <w:bCs/>
          <w:sz w:val="32"/>
          <w:szCs w:val="32"/>
        </w:rPr>
        <w:t>引导大型龙头骨干企业向小微企业和创业团队开放创新资源，鼓励建立基于互联网的开放式创新联盟。聚焦鞋服、泵阀、电器等重点产业数字化，推进智能制造、工业互联网等领域发展联盟，形成覆盖全产业链的数字化合作创新机制。加强中国浙江网上技术市场青田县分市场建设，抓好数字经济领域科研成果产业化和引进技术的消化、吸收、创新。积极建设网上石雕文化博物馆、互联网创新孵化中心、“三乡文化”网络展示体验中心等，为传播青田特色产业文化和旅游资源提供窗口和平台载体。</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3、推动区域开放协同发展</w:t>
      </w:r>
    </w:p>
    <w:p>
      <w:pPr>
        <w:ind w:firstLine="640" w:firstLineChars="200"/>
        <w:rPr>
          <w:rFonts w:ascii="仿宋" w:hAnsi="仿宋" w:eastAsia="仿宋" w:cs="仿宋"/>
          <w:bCs/>
          <w:sz w:val="32"/>
          <w:szCs w:val="32"/>
        </w:rPr>
      </w:pPr>
      <w:r>
        <w:rPr>
          <w:rFonts w:hint="eastAsia" w:ascii="楷体" w:hAnsi="楷体" w:eastAsia="楷体" w:cs="仿宋"/>
          <w:bCs/>
          <w:sz w:val="32"/>
          <w:szCs w:val="32"/>
        </w:rPr>
        <w:t>——促进跨区域项目资源对接。</w:t>
      </w:r>
      <w:r>
        <w:rPr>
          <w:rFonts w:hint="eastAsia" w:ascii="仿宋" w:hAnsi="仿宋" w:eastAsia="仿宋" w:cs="仿宋"/>
          <w:bCs/>
          <w:sz w:val="32"/>
          <w:szCs w:val="32"/>
        </w:rPr>
        <w:t>主动参与“长江经济带”“长三角一体化”等重大国家战略建设，高效对接杭州、上海等周边地区数字经济创新资源，通过制定多层次的、全方位的开放政策，吸引更多的创新资源和项目在青田落地，构建开放新格局。加强定向招商与产业链招商力度，在京、沪以及珠三角等数字经济发达地区进行驻点招商，对周边杭州、苏州、无锡等数字产业优势集中地区采取小分队招商。到2022年，在杭州、上海等地建成2-3个“飞地”孵化平台，形成开放发展、协同共进的格局。</w:t>
      </w:r>
    </w:p>
    <w:p>
      <w:pPr>
        <w:ind w:firstLine="640" w:firstLineChars="200"/>
        <w:rPr>
          <w:rFonts w:ascii="仿宋" w:hAnsi="仿宋" w:eastAsia="仿宋" w:cs="仿宋"/>
          <w:bCs/>
          <w:sz w:val="32"/>
          <w:szCs w:val="32"/>
        </w:rPr>
      </w:pPr>
      <w:r>
        <w:rPr>
          <w:rFonts w:hint="eastAsia" w:ascii="楷体" w:hAnsi="楷体" w:eastAsia="楷体" w:cs="仿宋"/>
          <w:bCs/>
          <w:sz w:val="32"/>
          <w:szCs w:val="32"/>
        </w:rPr>
        <w:t>——推动全球数字经济精准合作。</w:t>
      </w:r>
      <w:r>
        <w:rPr>
          <w:rFonts w:hint="eastAsia" w:ascii="仿宋" w:hAnsi="仿宋" w:eastAsia="仿宋" w:cs="仿宋"/>
          <w:bCs/>
          <w:sz w:val="32"/>
          <w:szCs w:val="32"/>
        </w:rPr>
        <w:t>鼓励青田企业与杭州、上海地区相关单位开展科技创新合作，支持国内外知名企业在青田设立和培育信息技术研发中心和实验室，加强联合攻关。充分发挥青田华侨资源优势，借助青田侨乡进口商品城平台，推动跨境资源在青田汇聚，促进国际跨区域合作与交流。紧紧抓住海外系列青田华侨站、欧洲国际产业合作园建设机遇，加快推进数字技术国际合作，积极引进和建设国际工程中心和产学研基地等，建立针对电子商务、智能制造等产业领域的国际科研合作平台。</w:t>
      </w:r>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8522" w:type="dxa"/>
          </w:tcPr>
          <w:p>
            <w:pPr>
              <w:adjustRightInd w:val="0"/>
              <w:snapToGrid w:val="0"/>
              <w:spacing w:line="480" w:lineRule="exact"/>
              <w:jc w:val="center"/>
              <w:rPr>
                <w:rFonts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专栏4：青田县数字经济重点平台建设工程</w:t>
            </w:r>
          </w:p>
          <w:p>
            <w:pPr>
              <w:adjustRightInd w:val="0"/>
              <w:snapToGrid w:val="0"/>
              <w:spacing w:line="480" w:lineRule="exact"/>
              <w:ind w:firstLine="480" w:firstLineChars="200"/>
              <w:rPr>
                <w:rFonts w:ascii="仿宋_GB2312" w:hAnsi="仿宋_GB2312" w:cs="仿宋_GB2312"/>
                <w:color w:val="000000"/>
                <w:sz w:val="24"/>
              </w:rPr>
            </w:pPr>
            <w:r>
              <w:rPr>
                <w:rFonts w:hint="eastAsia" w:ascii="仿宋_GB2312" w:hAnsi="仿宋_GB2312" w:cs="仿宋_GB2312"/>
                <w:color w:val="000000"/>
                <w:sz w:val="24"/>
              </w:rPr>
              <w:t>充分利用青田资源，聚焦产业数字化、数字产业化及创业创新生态营造，打造一批数字经济领域的重点平台，为青田数字经济奠定重要支撑。</w:t>
            </w:r>
          </w:p>
          <w:p>
            <w:pPr>
              <w:adjustRightInd w:val="0"/>
              <w:snapToGrid w:val="0"/>
              <w:spacing w:line="480" w:lineRule="exact"/>
              <w:ind w:firstLine="480" w:firstLineChars="200"/>
              <w:rPr>
                <w:rFonts w:ascii="华文楷体" w:hAnsi="华文楷体" w:eastAsia="华文楷体" w:cs="仿宋_GB2312"/>
                <w:color w:val="000000"/>
                <w:sz w:val="24"/>
              </w:rPr>
            </w:pPr>
            <w:r>
              <w:rPr>
                <w:rFonts w:hint="eastAsia" w:ascii="华文楷体" w:hAnsi="华文楷体" w:eastAsia="华文楷体" w:cs="仿宋_GB2312"/>
                <w:color w:val="000000"/>
                <w:sz w:val="24"/>
              </w:rPr>
              <w:t>1. 数字经济科创平台：起步科创园</w:t>
            </w:r>
          </w:p>
          <w:p>
            <w:pPr>
              <w:adjustRightInd w:val="0"/>
              <w:snapToGrid w:val="0"/>
              <w:spacing w:line="480" w:lineRule="exact"/>
              <w:ind w:firstLine="480" w:firstLineChars="200"/>
              <w:rPr>
                <w:rFonts w:ascii="仿宋_GB2312" w:hAnsi="仿宋_GB2312" w:cs="仿宋_GB2312"/>
                <w:color w:val="000000"/>
                <w:sz w:val="24"/>
              </w:rPr>
            </w:pPr>
            <w:r>
              <w:rPr>
                <w:rFonts w:hint="eastAsia" w:ascii="仿宋_GB2312" w:hAnsi="仿宋_GB2312" w:cs="仿宋_GB2312"/>
                <w:color w:val="000000"/>
                <w:sz w:val="24"/>
              </w:rPr>
              <w:t>园区位于油竹新区侨乡工业园区，地处青田现有中心城区东侧，总规划面积约20.1万平方米，可建设用地面积约18.7万平方米。园区以起步股份品牌产业为依托，以特色时尚鞋服产业为基础，以青田优势自然环境为载体，打造集生产、生态、生活于一体的公园式科创园区。园区重点聚焦鞋革服装产业的数字化科技创新，引进一批数字经济领域的新兴产业企业和创新团队，着力打造青田鞋服产业数字化技术创新高地。</w:t>
            </w:r>
          </w:p>
          <w:p>
            <w:pPr>
              <w:adjustRightInd w:val="0"/>
              <w:snapToGrid w:val="0"/>
              <w:spacing w:line="480" w:lineRule="exact"/>
              <w:ind w:firstLine="480" w:firstLineChars="200"/>
              <w:rPr>
                <w:rFonts w:ascii="华文楷体" w:hAnsi="华文楷体" w:eastAsia="华文楷体" w:cs="仿宋_GB2312"/>
                <w:color w:val="000000"/>
                <w:sz w:val="24"/>
              </w:rPr>
            </w:pPr>
            <w:r>
              <w:rPr>
                <w:rFonts w:hint="eastAsia" w:ascii="华文楷体" w:hAnsi="华文楷体" w:eastAsia="华文楷体" w:cs="仿宋_GB2312"/>
                <w:color w:val="000000"/>
                <w:sz w:val="24"/>
              </w:rPr>
              <w:t>2. 产业数字化平台：智能创新小镇</w:t>
            </w:r>
          </w:p>
          <w:p>
            <w:pPr>
              <w:adjustRightInd w:val="0"/>
              <w:snapToGrid w:val="0"/>
              <w:spacing w:line="480" w:lineRule="exact"/>
              <w:ind w:firstLine="480" w:firstLineChars="200"/>
              <w:rPr>
                <w:rFonts w:ascii="仿宋_GB2312" w:hAnsi="仿宋_GB2312" w:cs="仿宋_GB2312"/>
                <w:color w:val="000000"/>
                <w:sz w:val="24"/>
              </w:rPr>
            </w:pPr>
            <w:r>
              <w:rPr>
                <w:rFonts w:hint="eastAsia" w:ascii="仿宋_GB2312" w:hAnsi="仿宋_GB2312" w:cs="仿宋_GB2312"/>
                <w:color w:val="000000"/>
                <w:sz w:val="24"/>
              </w:rPr>
              <w:t>小镇位于青田县城、瓯江中下游，是青田欧洲小镇的重要组成部分，规划面积约27.43平方公里。小镇以青田总部回归为契机，重点发展智能时尚制造、文化、设计、休闲旅游等高端服务型及新型产业，形成以智能创新管理中心为核心，兼具特色小镇商务配套服务功能的区域，打造青田智能创新产业示范园区。同时，依托铁路货运站场、丽水唯一出海港口、省道国道等交通优势，发展智能物流业，并设立配套的保税仓储功能，发展具备高度发达信息交换的现代物流产业。</w:t>
            </w:r>
          </w:p>
          <w:p>
            <w:pPr>
              <w:adjustRightInd w:val="0"/>
              <w:snapToGrid w:val="0"/>
              <w:spacing w:line="480" w:lineRule="exact"/>
              <w:ind w:firstLine="480" w:firstLineChars="200"/>
              <w:rPr>
                <w:rFonts w:ascii="华文楷体" w:hAnsi="华文楷体" w:eastAsia="华文楷体" w:cs="仿宋_GB2312"/>
                <w:color w:val="000000"/>
                <w:sz w:val="24"/>
              </w:rPr>
            </w:pPr>
            <w:r>
              <w:rPr>
                <w:rFonts w:hint="eastAsia" w:ascii="华文楷体" w:hAnsi="华文楷体" w:eastAsia="华文楷体" w:cs="仿宋_GB2312"/>
                <w:color w:val="000000"/>
                <w:sz w:val="24"/>
              </w:rPr>
              <w:t>3. 创业创新发展平台：青商回归创业园</w:t>
            </w:r>
          </w:p>
          <w:p>
            <w:pPr>
              <w:adjustRightInd w:val="0"/>
              <w:snapToGrid w:val="0"/>
              <w:spacing w:line="480" w:lineRule="exact"/>
              <w:ind w:firstLine="480" w:firstLineChars="200"/>
              <w:rPr>
                <w:rFonts w:ascii="仿宋_GB2312" w:hAnsi="仿宋_GB2312" w:cs="仿宋_GB2312"/>
                <w:color w:val="000000"/>
                <w:sz w:val="24"/>
              </w:rPr>
            </w:pPr>
            <w:r>
              <w:rPr>
                <w:rFonts w:hint="eastAsia" w:ascii="仿宋_GB2312" w:hAnsi="仿宋_GB2312" w:cs="仿宋_GB2312"/>
                <w:color w:val="000000"/>
                <w:sz w:val="24"/>
              </w:rPr>
              <w:t>园区位于温溪镇洲头村，规划用地37.7亩，总投资8亿元，主要建设商务办公楼、酒店、住宅等功能设施，建成后拟引进总部型企业10多家，将打造成为全县青商回归创业的重要载体和平台。园区将积极发挥青田华侨和青商两大优势，深入实施青商回归、华侨要素回流工程，通过建立浙商创业创新信息库，摸清各行业领军人物、会长、专家、新生代四支队伍情况，全面掌握在外青商基本信息，利用乡情纽带，争取招引一批优秀青商反哺家乡。</w:t>
            </w:r>
          </w:p>
        </w:tc>
      </w:tr>
    </w:tbl>
    <w:p>
      <w:pPr>
        <w:ind w:firstLine="643" w:firstLineChars="200"/>
        <w:rPr>
          <w:rFonts w:ascii="仿宋" w:hAnsi="仿宋" w:eastAsia="仿宋" w:cs="仿宋"/>
          <w:b/>
          <w:bCs/>
          <w:sz w:val="32"/>
          <w:szCs w:val="32"/>
        </w:rPr>
      </w:pPr>
    </w:p>
    <w:p>
      <w:pPr>
        <w:keepNext/>
        <w:keepLines/>
        <w:spacing w:before="120" w:after="120" w:line="360" w:lineRule="auto"/>
        <w:ind w:firstLine="723" w:firstLineChars="200"/>
        <w:outlineLvl w:val="0"/>
        <w:rPr>
          <w:rFonts w:ascii="黑体" w:hAnsi="黑体" w:eastAsia="黑体" w:cs="黑体"/>
          <w:b/>
          <w:bCs/>
          <w:kern w:val="44"/>
          <w:sz w:val="36"/>
          <w:szCs w:val="36"/>
          <w:lang w:val="zh-CN"/>
        </w:rPr>
      </w:pPr>
      <w:bookmarkStart w:id="18" w:name="_Toc14440763"/>
      <w:r>
        <w:rPr>
          <w:rFonts w:hint="eastAsia" w:ascii="黑体" w:hAnsi="黑体" w:eastAsia="黑体" w:cs="黑体"/>
          <w:b/>
          <w:bCs/>
          <w:kern w:val="44"/>
          <w:sz w:val="36"/>
          <w:szCs w:val="36"/>
          <w:lang w:val="zh-CN"/>
        </w:rPr>
        <w:t>四、保障措施</w:t>
      </w:r>
      <w:bookmarkEnd w:id="18"/>
    </w:p>
    <w:p>
      <w:pPr>
        <w:spacing w:before="156" w:beforeLines="50"/>
        <w:ind w:firstLine="643" w:firstLineChars="200"/>
        <w:outlineLvl w:val="1"/>
        <w:rPr>
          <w:rFonts w:ascii="楷体" w:hAnsi="楷体" w:eastAsia="楷体" w:cs="楷体"/>
          <w:b/>
          <w:sz w:val="32"/>
          <w:szCs w:val="32"/>
        </w:rPr>
      </w:pPr>
      <w:bookmarkStart w:id="19" w:name="_Toc14440764"/>
      <w:r>
        <w:rPr>
          <w:rFonts w:hint="eastAsia" w:ascii="楷体" w:hAnsi="楷体" w:eastAsia="楷体" w:cs="楷体"/>
          <w:b/>
          <w:sz w:val="32"/>
          <w:szCs w:val="32"/>
        </w:rPr>
        <w:t>（一）完善组织领导。</w:t>
      </w:r>
      <w:bookmarkEnd w:id="19"/>
    </w:p>
    <w:p>
      <w:pPr>
        <w:ind w:firstLine="640" w:firstLineChars="200"/>
        <w:rPr>
          <w:rFonts w:ascii="仿宋" w:hAnsi="仿宋" w:eastAsia="仿宋" w:cs="仿宋"/>
          <w:bCs/>
          <w:sz w:val="32"/>
          <w:szCs w:val="32"/>
        </w:rPr>
      </w:pPr>
      <w:r>
        <w:rPr>
          <w:rFonts w:hint="eastAsia" w:ascii="仿宋" w:hAnsi="仿宋" w:eastAsia="仿宋" w:cs="仿宋"/>
          <w:bCs/>
          <w:sz w:val="32"/>
          <w:szCs w:val="32"/>
        </w:rPr>
        <w:t>将数字经济作为全县经济工作“一号工程”，加快建立由县主要领导担任组长的青田县数字经济工作领导小组，协调解决数字经济工作推进过程中存在的重大问题。建立健全跨部门的统筹协调机制，县各相关部门要按照责任分工要求，明确分管领导和具体联系人员，制定工作计划，落实目标任务。广泛邀请数字产业化和产业数字化等各领域专家学者加入，组建县数字经济发展专家咨询委员会，为我县数字经济发展提供专业咨询、项目论证评估和技术服务支撑。</w:t>
      </w:r>
    </w:p>
    <w:p>
      <w:pPr>
        <w:spacing w:before="156" w:beforeLines="50"/>
        <w:ind w:firstLine="643" w:firstLineChars="200"/>
        <w:outlineLvl w:val="1"/>
        <w:rPr>
          <w:rFonts w:ascii="楷体" w:hAnsi="楷体" w:eastAsia="楷体" w:cs="楷体"/>
          <w:b/>
          <w:sz w:val="32"/>
          <w:szCs w:val="32"/>
        </w:rPr>
      </w:pPr>
      <w:bookmarkStart w:id="20" w:name="_Toc14440765"/>
      <w:r>
        <w:rPr>
          <w:rFonts w:hint="eastAsia" w:ascii="楷体" w:hAnsi="楷体" w:eastAsia="楷体" w:cs="楷体"/>
          <w:b/>
          <w:sz w:val="32"/>
          <w:szCs w:val="32"/>
        </w:rPr>
        <w:t>（二）加强财政支持。</w:t>
      </w:r>
      <w:bookmarkEnd w:id="20"/>
    </w:p>
    <w:p>
      <w:pPr>
        <w:ind w:firstLine="640" w:firstLineChars="200"/>
        <w:rPr>
          <w:rFonts w:ascii="仿宋" w:hAnsi="仿宋" w:eastAsia="仿宋" w:cs="仿宋"/>
          <w:bCs/>
          <w:sz w:val="32"/>
          <w:szCs w:val="32"/>
        </w:rPr>
      </w:pPr>
      <w:r>
        <w:rPr>
          <w:rFonts w:hint="eastAsia" w:ascii="仿宋" w:hAnsi="仿宋" w:eastAsia="仿宋" w:cs="仿宋"/>
          <w:bCs/>
          <w:sz w:val="32"/>
          <w:szCs w:val="32"/>
        </w:rPr>
        <w:t>研究完善数字经济发展政策体系，加强现有财政资金统筹，研究完善相关扶持政策，加大对数字经济发展的支持力度，重点扶持数字产业化、智能制造、数字贸易、智慧城市等关键领域、重点工程和重大项目，引导带动实体经济企业开展数字化升级。积极争取国家相关专项资金扶持，推动设立县数字经济产业基金。创新财政资金扶持方式，综合运用产业引导基金、政府和社会资本合作等方式，引导社会资本参与数字经济领域科技研发、技术改造、公共平台建设等，通过市场化运作，不断提高财政资金使用效益。</w:t>
      </w:r>
    </w:p>
    <w:p>
      <w:pPr>
        <w:spacing w:before="156" w:beforeLines="50"/>
        <w:ind w:firstLine="643" w:firstLineChars="200"/>
        <w:outlineLvl w:val="1"/>
        <w:rPr>
          <w:rFonts w:ascii="楷体" w:hAnsi="楷体" w:eastAsia="楷体" w:cs="楷体"/>
          <w:b/>
          <w:sz w:val="32"/>
          <w:szCs w:val="32"/>
        </w:rPr>
      </w:pPr>
      <w:bookmarkStart w:id="21" w:name="_Toc14440766"/>
      <w:r>
        <w:rPr>
          <w:rFonts w:hint="eastAsia" w:ascii="楷体" w:hAnsi="楷体" w:eastAsia="楷体" w:cs="楷体"/>
          <w:b/>
          <w:sz w:val="32"/>
          <w:szCs w:val="32"/>
        </w:rPr>
        <w:t>（三）健全考核评价。</w:t>
      </w:r>
      <w:bookmarkEnd w:id="21"/>
    </w:p>
    <w:p>
      <w:pPr>
        <w:ind w:firstLine="640" w:firstLineChars="200"/>
        <w:rPr>
          <w:rFonts w:ascii="仿宋" w:hAnsi="仿宋" w:eastAsia="仿宋" w:cs="仿宋"/>
          <w:bCs/>
          <w:sz w:val="32"/>
          <w:szCs w:val="32"/>
        </w:rPr>
      </w:pPr>
      <w:r>
        <w:rPr>
          <w:rFonts w:hint="eastAsia" w:ascii="仿宋" w:hAnsi="仿宋" w:eastAsia="仿宋" w:cs="仿宋"/>
          <w:bCs/>
          <w:sz w:val="32"/>
          <w:szCs w:val="32"/>
        </w:rPr>
        <w:t>将数字经济工作推进情况纳入年度目标绩效考核重要内容，制定数字经济工作具体考核办法，根据五年规划提出的主要目标，建立科学合理的评价指标体系。强化目标责任考核与评价，及时对全县数字经济发展规划的推进情况进行动态跟踪分析，协调解决规划实施中的新情况新问题。加强数字经济运行监督，建立常态化机制，定期监测重点产业和重点企业运行情况，加强运行趋势预研预判，及时提出对策和措施。</w:t>
      </w:r>
      <w:r>
        <w:rPr>
          <w:rFonts w:ascii="仿宋" w:hAnsi="仿宋" w:eastAsia="仿宋" w:cs="仿宋"/>
          <w:bCs/>
          <w:sz w:val="32"/>
          <w:szCs w:val="32"/>
        </w:rPr>
        <w:t xml:space="preserve"> </w:t>
      </w:r>
    </w:p>
    <w:p>
      <w:pPr>
        <w:spacing w:before="156" w:beforeLines="50"/>
        <w:ind w:firstLine="643" w:firstLineChars="200"/>
        <w:outlineLvl w:val="1"/>
        <w:rPr>
          <w:rFonts w:ascii="楷体" w:hAnsi="楷体" w:eastAsia="楷体" w:cs="楷体"/>
          <w:b/>
          <w:sz w:val="32"/>
          <w:szCs w:val="32"/>
        </w:rPr>
      </w:pPr>
      <w:bookmarkStart w:id="22" w:name="_Toc14440767"/>
      <w:r>
        <w:rPr>
          <w:rFonts w:hint="eastAsia" w:ascii="楷体" w:hAnsi="楷体" w:eastAsia="楷体" w:cs="楷体"/>
          <w:b/>
          <w:sz w:val="32"/>
          <w:szCs w:val="32"/>
        </w:rPr>
        <w:t>（四）促进合作交流。</w:t>
      </w:r>
      <w:bookmarkEnd w:id="22"/>
    </w:p>
    <w:p>
      <w:pPr>
        <w:ind w:firstLine="640" w:firstLineChars="200"/>
        <w:rPr>
          <w:rFonts w:ascii="仿宋" w:hAnsi="仿宋" w:eastAsia="仿宋" w:cs="仿宋"/>
          <w:bCs/>
          <w:sz w:val="32"/>
          <w:szCs w:val="32"/>
        </w:rPr>
      </w:pPr>
      <w:r>
        <w:rPr>
          <w:rFonts w:hint="eastAsia" w:ascii="仿宋" w:hAnsi="仿宋" w:eastAsia="仿宋" w:cs="仿宋"/>
          <w:bCs/>
          <w:sz w:val="32"/>
          <w:szCs w:val="32"/>
        </w:rPr>
        <w:t>主动融入省“数字大花园”战略建设，高效对接杭州、宁波等发达地区数字经济创新资源，通过飞地等创新模式，积极承接实施一批“省部”合作项目、国家产业转移合作试点园区、校企联合平台项目。全力推动政产学研用合作，切实加强与研究院所、高等院校和创新型企业的科技合作，并鼓励其在我县建立联合实验室或研发中心，支持产业园创建国际性产业化合作基地。</w:t>
      </w:r>
    </w:p>
    <w:p>
      <w:pPr>
        <w:spacing w:before="156" w:beforeLines="50"/>
        <w:ind w:firstLine="643" w:firstLineChars="200"/>
        <w:outlineLvl w:val="1"/>
        <w:rPr>
          <w:rFonts w:ascii="楷体" w:hAnsi="楷体" w:eastAsia="楷体" w:cs="楷体"/>
          <w:b/>
          <w:sz w:val="32"/>
          <w:szCs w:val="32"/>
        </w:rPr>
      </w:pPr>
      <w:bookmarkStart w:id="23" w:name="_Toc14440768"/>
      <w:r>
        <w:rPr>
          <w:rFonts w:hint="eastAsia" w:ascii="楷体" w:hAnsi="楷体" w:eastAsia="楷体" w:cs="楷体"/>
          <w:b/>
          <w:sz w:val="32"/>
          <w:szCs w:val="32"/>
        </w:rPr>
        <w:t>（五）营造良好环境。</w:t>
      </w:r>
      <w:bookmarkEnd w:id="23"/>
    </w:p>
    <w:p>
      <w:pPr>
        <w:ind w:firstLine="640" w:firstLineChars="200"/>
        <w:rPr>
          <w:rFonts w:ascii="仿宋" w:hAnsi="仿宋" w:eastAsia="仿宋" w:cs="仿宋"/>
          <w:bCs/>
          <w:sz w:val="32"/>
          <w:szCs w:val="32"/>
        </w:rPr>
      </w:pPr>
      <w:r>
        <w:rPr>
          <w:rFonts w:hint="eastAsia" w:ascii="仿宋" w:hAnsi="仿宋" w:eastAsia="仿宋" w:cs="仿宋"/>
          <w:bCs/>
          <w:sz w:val="32"/>
          <w:szCs w:val="32"/>
        </w:rPr>
        <w:t>深化“放管服”改革，适当放宽数字经济领域的准入条件，构建“清”“亲”的新型政商关系。面向我县党政干部开展数字经济专业知识培训，提升数字经济工作行动能力。围绕数字化转型、企业上云、数字城市等领域举办论坛、专题培训及组团考察等系列活动，发挥广播、电视、报刊、互联网等媒体作用，通过开设专栏专题、组织专题展览、印发科普读物、举办专家讲座等形式，多角度、多层次、多题材地集中开展数字经济知识宣传培训活动，营造全社会参与的良好氛围。</w:t>
      </w:r>
    </w:p>
    <w:p>
      <w:pPr>
        <w:widowControl/>
        <w:jc w:val="left"/>
        <w:rPr>
          <w:rFonts w:ascii="仿宋" w:hAnsi="仿宋" w:eastAsia="仿宋" w:cs="仿宋"/>
          <w:bCs/>
          <w:sz w:val="32"/>
          <w:szCs w:val="32"/>
        </w:rPr>
      </w:pPr>
      <w:r>
        <w:rPr>
          <w:rFonts w:ascii="仿宋" w:hAnsi="仿宋" w:eastAsia="仿宋" w:cs="仿宋"/>
          <w:bCs/>
          <w:sz w:val="32"/>
          <w:szCs w:val="32"/>
        </w:rPr>
        <w:br w:type="page"/>
      </w:r>
    </w:p>
    <w:p>
      <w:pPr>
        <w:rPr>
          <w:rFonts w:ascii="仿宋" w:hAnsi="仿宋" w:eastAsia="仿宋" w:cs="仿宋"/>
          <w:bCs/>
          <w:sz w:val="32"/>
          <w:szCs w:val="32"/>
        </w:rPr>
        <w:sectPr>
          <w:pgSz w:w="11906" w:h="16838"/>
          <w:pgMar w:top="1440" w:right="1800" w:bottom="1440" w:left="1800" w:header="851" w:footer="992" w:gutter="0"/>
          <w:pgNumType w:start="1"/>
          <w:cols w:space="720" w:num="1"/>
          <w:docGrid w:type="lines" w:linePitch="312" w:charSpace="0"/>
        </w:sectPr>
      </w:pPr>
    </w:p>
    <w:p>
      <w:pPr>
        <w:pStyle w:val="2"/>
        <w:spacing w:before="120" w:after="120" w:line="360" w:lineRule="auto"/>
        <w:jc w:val="left"/>
        <w:rPr>
          <w:rFonts w:ascii="楷体_GB2312" w:eastAsia="楷体_GB2312"/>
          <w:sz w:val="36"/>
          <w:szCs w:val="36"/>
          <w:lang w:val="zh-CN"/>
        </w:rPr>
      </w:pPr>
      <w:bookmarkStart w:id="24" w:name="_Toc462146501"/>
      <w:r>
        <w:rPr>
          <w:rFonts w:hint="eastAsia" w:ascii="楷体_GB2312" w:eastAsia="楷体_GB2312"/>
          <w:sz w:val="36"/>
          <w:szCs w:val="36"/>
          <w:lang w:val="zh-CN"/>
        </w:rPr>
        <w:t>附件</w:t>
      </w:r>
      <w:r>
        <w:rPr>
          <w:rFonts w:ascii="楷体_GB2312" w:eastAsia="楷体_GB2312"/>
          <w:sz w:val="36"/>
          <w:szCs w:val="36"/>
          <w:lang w:val="zh-CN"/>
        </w:rPr>
        <w:t>1</w:t>
      </w:r>
      <w:r>
        <w:rPr>
          <w:rFonts w:hint="eastAsia" w:ascii="楷体_GB2312" w:eastAsia="楷体_GB2312"/>
          <w:sz w:val="36"/>
          <w:szCs w:val="36"/>
          <w:lang w:val="zh-CN"/>
        </w:rPr>
        <w:t>: 青田县数字经济项目情况一览表</w:t>
      </w:r>
      <w:bookmarkEnd w:id="24"/>
    </w:p>
    <w:tbl>
      <w:tblPr>
        <w:tblStyle w:val="18"/>
        <w:tblW w:w="14049" w:type="dxa"/>
        <w:tblInd w:w="0" w:type="dxa"/>
        <w:tblLayout w:type="fixed"/>
        <w:tblCellMar>
          <w:top w:w="0" w:type="dxa"/>
          <w:left w:w="0" w:type="dxa"/>
          <w:bottom w:w="0" w:type="dxa"/>
          <w:right w:w="0" w:type="dxa"/>
        </w:tblCellMar>
      </w:tblPr>
      <w:tblGrid>
        <w:gridCol w:w="724"/>
        <w:gridCol w:w="1843"/>
        <w:gridCol w:w="1843"/>
        <w:gridCol w:w="1842"/>
        <w:gridCol w:w="1276"/>
        <w:gridCol w:w="5245"/>
        <w:gridCol w:w="1276"/>
      </w:tblGrid>
      <w:tr>
        <w:tblPrEx>
          <w:tblLayout w:type="fixed"/>
          <w:tblCellMar>
            <w:top w:w="0" w:type="dxa"/>
            <w:left w:w="0" w:type="dxa"/>
            <w:bottom w:w="0" w:type="dxa"/>
            <w:right w:w="0" w:type="dxa"/>
          </w:tblCellMar>
        </w:tblPrEx>
        <w:trPr>
          <w:trHeight w:val="71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500" w:lineRule="exact"/>
              <w:jc w:val="center"/>
              <w:rPr>
                <w:rFonts w:ascii="黑体" w:hAnsi="黑体" w:eastAsia="黑体" w:cs="宋体"/>
                <w:b/>
                <w:sz w:val="24"/>
              </w:rPr>
            </w:pPr>
            <w:r>
              <w:rPr>
                <w:rFonts w:hint="eastAsia" w:ascii="黑体" w:hAnsi="黑体" w:eastAsia="黑体"/>
                <w:b/>
                <w:sz w:val="24"/>
              </w:rPr>
              <w:t>序号</w:t>
            </w:r>
          </w:p>
        </w:tc>
        <w:tc>
          <w:tcPr>
            <w:tcW w:w="1843"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500" w:lineRule="exact"/>
              <w:jc w:val="center"/>
              <w:rPr>
                <w:rFonts w:ascii="黑体" w:hAnsi="黑体" w:eastAsia="黑体" w:cs="宋体"/>
                <w:b/>
                <w:sz w:val="24"/>
              </w:rPr>
            </w:pPr>
            <w:r>
              <w:rPr>
                <w:rFonts w:hint="eastAsia" w:ascii="黑体" w:hAnsi="黑体" w:eastAsia="黑体"/>
                <w:b/>
                <w:sz w:val="24"/>
              </w:rPr>
              <w:t>项目名称</w:t>
            </w:r>
          </w:p>
        </w:tc>
        <w:tc>
          <w:tcPr>
            <w:tcW w:w="1843"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500" w:lineRule="exact"/>
              <w:jc w:val="center"/>
              <w:rPr>
                <w:rFonts w:ascii="黑体" w:hAnsi="黑体" w:eastAsia="黑体" w:cs="宋体"/>
                <w:b/>
                <w:sz w:val="24"/>
              </w:rPr>
            </w:pPr>
            <w:r>
              <w:rPr>
                <w:rFonts w:hint="eastAsia" w:ascii="黑体" w:hAnsi="黑体" w:eastAsia="黑体"/>
                <w:b/>
                <w:sz w:val="24"/>
              </w:rPr>
              <w:t>项目实施单位</w:t>
            </w:r>
          </w:p>
        </w:tc>
        <w:tc>
          <w:tcPr>
            <w:tcW w:w="1842"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500" w:lineRule="exact"/>
              <w:jc w:val="center"/>
              <w:rPr>
                <w:rFonts w:ascii="黑体" w:hAnsi="黑体" w:eastAsia="黑体"/>
                <w:b/>
                <w:sz w:val="24"/>
              </w:rPr>
            </w:pPr>
            <w:r>
              <w:rPr>
                <w:rFonts w:hint="eastAsia" w:ascii="黑体" w:hAnsi="黑体" w:eastAsia="黑体"/>
                <w:b/>
                <w:sz w:val="24"/>
              </w:rPr>
              <w:t>投资额（万元）</w:t>
            </w:r>
          </w:p>
        </w:tc>
        <w:tc>
          <w:tcPr>
            <w:tcW w:w="127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500" w:lineRule="exact"/>
              <w:jc w:val="center"/>
              <w:rPr>
                <w:rFonts w:ascii="黑体" w:hAnsi="黑体" w:eastAsia="黑体" w:cs="宋体"/>
                <w:b/>
                <w:sz w:val="24"/>
              </w:rPr>
            </w:pPr>
            <w:r>
              <w:rPr>
                <w:rFonts w:hint="eastAsia" w:ascii="黑体" w:hAnsi="黑体" w:eastAsia="黑体"/>
                <w:b/>
                <w:sz w:val="24"/>
              </w:rPr>
              <w:t>起止年限</w:t>
            </w:r>
          </w:p>
        </w:tc>
        <w:tc>
          <w:tcPr>
            <w:tcW w:w="5245"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500" w:lineRule="exact"/>
              <w:jc w:val="center"/>
              <w:rPr>
                <w:rFonts w:ascii="黑体" w:hAnsi="黑体" w:eastAsia="黑体" w:cs="宋体"/>
                <w:b/>
                <w:sz w:val="24"/>
              </w:rPr>
            </w:pPr>
            <w:r>
              <w:rPr>
                <w:rFonts w:hint="eastAsia" w:ascii="黑体" w:hAnsi="黑体" w:eastAsia="黑体"/>
                <w:b/>
                <w:sz w:val="24"/>
              </w:rPr>
              <w:t>主要建设内容</w:t>
            </w:r>
          </w:p>
        </w:tc>
        <w:tc>
          <w:tcPr>
            <w:tcW w:w="127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500" w:lineRule="exact"/>
              <w:jc w:val="center"/>
              <w:rPr>
                <w:rFonts w:ascii="黑体" w:hAnsi="黑体" w:eastAsia="黑体" w:cs="宋体"/>
                <w:b/>
                <w:sz w:val="24"/>
              </w:rPr>
            </w:pPr>
            <w:r>
              <w:rPr>
                <w:rFonts w:hint="eastAsia" w:ascii="黑体" w:hAnsi="黑体" w:eastAsia="黑体"/>
                <w:b/>
                <w:sz w:val="24"/>
              </w:rPr>
              <w:t>所属区域</w:t>
            </w:r>
          </w:p>
        </w:tc>
      </w:tr>
      <w:tr>
        <w:tblPrEx>
          <w:tblLayout w:type="fixed"/>
          <w:tblCellMar>
            <w:top w:w="0" w:type="dxa"/>
            <w:left w:w="0" w:type="dxa"/>
            <w:bottom w:w="0" w:type="dxa"/>
            <w:right w:w="0" w:type="dxa"/>
          </w:tblCellMar>
        </w:tblPrEx>
        <w:trPr>
          <w:trHeight w:val="543" w:hRule="atLeast"/>
        </w:trPr>
        <w:tc>
          <w:tcPr>
            <w:tcW w:w="14049"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b/>
                <w:sz w:val="24"/>
              </w:rPr>
            </w:pPr>
            <w:r>
              <w:rPr>
                <w:rFonts w:hint="eastAsia" w:ascii="宋体" w:hAnsi="宋体"/>
                <w:b/>
                <w:sz w:val="24"/>
              </w:rPr>
              <w:t>一、数字基础设施项目（共计：</w:t>
            </w:r>
            <w:r>
              <w:rPr>
                <w:rFonts w:ascii="宋体" w:hAnsi="宋体"/>
                <w:b/>
                <w:sz w:val="24"/>
              </w:rPr>
              <w:t>4</w:t>
            </w:r>
            <w:r>
              <w:rPr>
                <w:rFonts w:hint="eastAsia" w:ascii="宋体" w:hAnsi="宋体"/>
                <w:b/>
                <w:sz w:val="24"/>
              </w:rPr>
              <w:t>个项目）</w:t>
            </w:r>
          </w:p>
        </w:tc>
      </w:tr>
      <w:tr>
        <w:tblPrEx>
          <w:tblLayout w:type="fixed"/>
          <w:tblCellMar>
            <w:top w:w="0" w:type="dxa"/>
            <w:left w:w="0" w:type="dxa"/>
            <w:bottom w:w="0" w:type="dxa"/>
            <w:right w:w="0" w:type="dxa"/>
          </w:tblCellMar>
        </w:tblPrEx>
        <w:trPr>
          <w:trHeight w:val="315"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1</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宽带村通工程</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通信运营商</w:t>
            </w:r>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10000</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201</w:t>
            </w:r>
            <w:r>
              <w:rPr>
                <w:rFonts w:ascii="宋体" w:hAnsi="宋体"/>
                <w:szCs w:val="21"/>
              </w:rPr>
              <w:t>8</w:t>
            </w:r>
            <w:r>
              <w:rPr>
                <w:rFonts w:hint="eastAsia" w:ascii="宋体" w:hAnsi="宋体"/>
                <w:szCs w:val="21"/>
              </w:rPr>
              <w:t>-202</w:t>
            </w:r>
            <w:r>
              <w:rPr>
                <w:rFonts w:ascii="宋体" w:hAnsi="宋体"/>
                <w:szCs w:val="21"/>
              </w:rPr>
              <w:t>2</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北山镇高桥背等</w:t>
            </w:r>
            <w:r>
              <w:rPr>
                <w:rFonts w:ascii="宋体" w:hAnsi="宋体"/>
                <w:szCs w:val="21"/>
              </w:rPr>
              <w:t>109</w:t>
            </w:r>
            <w:r>
              <w:rPr>
                <w:rFonts w:hint="eastAsia" w:ascii="宋体" w:hAnsi="宋体"/>
                <w:szCs w:val="21"/>
              </w:rPr>
              <w:t>个无宽带覆盖行政村网络建设（视省市公司政策调整）</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青田全境</w:t>
            </w:r>
          </w:p>
        </w:tc>
      </w:tr>
      <w:tr>
        <w:tblPrEx>
          <w:tblLayout w:type="fixed"/>
          <w:tblCellMar>
            <w:top w:w="0" w:type="dxa"/>
            <w:left w:w="0" w:type="dxa"/>
            <w:bottom w:w="0" w:type="dxa"/>
            <w:right w:w="0" w:type="dxa"/>
          </w:tblCellMar>
        </w:tblPrEx>
        <w:trPr>
          <w:trHeight w:val="315"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ascii="宋体" w:hAnsi="宋体"/>
                <w:szCs w:val="21"/>
              </w:rPr>
              <w:t>2</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4G+及</w:t>
            </w:r>
            <w:r>
              <w:rPr>
                <w:rFonts w:ascii="宋体" w:hAnsi="宋体"/>
                <w:szCs w:val="21"/>
              </w:rPr>
              <w:t>5G</w:t>
            </w:r>
            <w:r>
              <w:rPr>
                <w:rFonts w:hint="eastAsia" w:ascii="宋体" w:hAnsi="宋体"/>
                <w:szCs w:val="21"/>
              </w:rPr>
              <w:t>网络建设</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通信运营商</w:t>
            </w:r>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7000</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201</w:t>
            </w:r>
            <w:r>
              <w:rPr>
                <w:rFonts w:ascii="宋体" w:hAnsi="宋体"/>
                <w:szCs w:val="21"/>
              </w:rPr>
              <w:t>8</w:t>
            </w:r>
            <w:r>
              <w:rPr>
                <w:rFonts w:hint="eastAsia" w:ascii="宋体" w:hAnsi="宋体"/>
                <w:szCs w:val="21"/>
              </w:rPr>
              <w:t>-202</w:t>
            </w:r>
            <w:r>
              <w:rPr>
                <w:rFonts w:ascii="宋体" w:hAnsi="宋体"/>
                <w:szCs w:val="21"/>
              </w:rPr>
              <w:t>2</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持续推进</w:t>
            </w:r>
            <w:r>
              <w:rPr>
                <w:rFonts w:ascii="宋体" w:hAnsi="宋体"/>
                <w:szCs w:val="21"/>
              </w:rPr>
              <w:t>4G</w:t>
            </w:r>
            <w:r>
              <w:rPr>
                <w:rFonts w:hint="eastAsia" w:ascii="宋体" w:hAnsi="宋体"/>
                <w:szCs w:val="21"/>
              </w:rPr>
              <w:t>+及5</w:t>
            </w:r>
            <w:r>
              <w:rPr>
                <w:rFonts w:ascii="宋体" w:hAnsi="宋体"/>
                <w:szCs w:val="21"/>
              </w:rPr>
              <w:t>G</w:t>
            </w:r>
            <w:r>
              <w:rPr>
                <w:rFonts w:hint="eastAsia" w:ascii="宋体" w:hAnsi="宋体"/>
                <w:szCs w:val="21"/>
              </w:rPr>
              <w:t>网络覆盖面的建设，计划乡镇所在地</w:t>
            </w:r>
            <w:r>
              <w:rPr>
                <w:rFonts w:ascii="宋体" w:hAnsi="宋体"/>
                <w:szCs w:val="21"/>
              </w:rPr>
              <w:t>100%</w:t>
            </w:r>
            <w:r>
              <w:rPr>
                <w:rFonts w:hint="eastAsia" w:ascii="宋体" w:hAnsi="宋体"/>
                <w:szCs w:val="21"/>
              </w:rPr>
              <w:t>覆盖，行政村</w:t>
            </w:r>
            <w:r>
              <w:rPr>
                <w:rFonts w:ascii="宋体" w:hAnsi="宋体"/>
                <w:szCs w:val="21"/>
              </w:rPr>
              <w:t>90%</w:t>
            </w:r>
            <w:r>
              <w:rPr>
                <w:rFonts w:hint="eastAsia" w:ascii="宋体" w:hAnsi="宋体"/>
                <w:szCs w:val="21"/>
              </w:rPr>
              <w:t>以上覆盖，持续推进无线宽带接入带宽的提升改造。</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青田全境</w:t>
            </w:r>
          </w:p>
        </w:tc>
      </w:tr>
      <w:tr>
        <w:tblPrEx>
          <w:tblLayout w:type="fixed"/>
          <w:tblCellMar>
            <w:top w:w="0" w:type="dxa"/>
            <w:left w:w="0" w:type="dxa"/>
            <w:bottom w:w="0" w:type="dxa"/>
            <w:right w:w="0" w:type="dxa"/>
          </w:tblCellMar>
        </w:tblPrEx>
        <w:trPr>
          <w:trHeight w:val="315"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ascii="宋体" w:hAnsi="宋体"/>
                <w:szCs w:val="21"/>
              </w:rPr>
              <w:t>3</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青田移动网网络建设</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通信运营商</w:t>
            </w:r>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3000</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201</w:t>
            </w:r>
            <w:r>
              <w:rPr>
                <w:rFonts w:ascii="宋体" w:hAnsi="宋体"/>
                <w:szCs w:val="21"/>
              </w:rPr>
              <w:t>8</w:t>
            </w:r>
            <w:r>
              <w:rPr>
                <w:rFonts w:hint="eastAsia" w:ascii="宋体" w:hAnsi="宋体"/>
                <w:szCs w:val="21"/>
              </w:rPr>
              <w:t>-2021</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青田全县范围内移动基站、室分</w:t>
            </w:r>
            <w:r>
              <w:rPr>
                <w:rFonts w:ascii="宋体" w:hAnsi="宋体"/>
                <w:szCs w:val="21"/>
              </w:rPr>
              <w:t>4G/5G</w:t>
            </w:r>
            <w:r>
              <w:rPr>
                <w:rFonts w:hint="eastAsia" w:ascii="宋体" w:hAnsi="宋体"/>
                <w:szCs w:val="21"/>
              </w:rPr>
              <w:t>网络建设</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青田全境</w:t>
            </w:r>
          </w:p>
        </w:tc>
      </w:tr>
      <w:tr>
        <w:tblPrEx>
          <w:tblLayout w:type="fixed"/>
          <w:tblCellMar>
            <w:top w:w="0" w:type="dxa"/>
            <w:left w:w="0" w:type="dxa"/>
            <w:bottom w:w="0" w:type="dxa"/>
            <w:right w:w="0" w:type="dxa"/>
          </w:tblCellMar>
        </w:tblPrEx>
        <w:trPr>
          <w:trHeight w:val="315"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ascii="宋体" w:hAnsi="宋体"/>
                <w:szCs w:val="21"/>
              </w:rPr>
              <w:t>4</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青田宽带、固话接入</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通信运营商</w:t>
            </w:r>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1000</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201</w:t>
            </w:r>
            <w:r>
              <w:rPr>
                <w:rFonts w:ascii="宋体" w:hAnsi="宋体"/>
                <w:szCs w:val="21"/>
              </w:rPr>
              <w:t>8</w:t>
            </w:r>
            <w:r>
              <w:rPr>
                <w:rFonts w:hint="eastAsia" w:ascii="宋体" w:hAnsi="宋体"/>
                <w:szCs w:val="21"/>
              </w:rPr>
              <w:t>-2021</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青田全县范围内</w:t>
            </w:r>
            <w:r>
              <w:rPr>
                <w:rFonts w:ascii="宋体" w:hAnsi="宋体"/>
                <w:szCs w:val="21"/>
              </w:rPr>
              <w:t>FTTH</w:t>
            </w:r>
            <w:r>
              <w:rPr>
                <w:rFonts w:hint="eastAsia" w:ascii="宋体" w:hAnsi="宋体"/>
                <w:szCs w:val="21"/>
              </w:rPr>
              <w:t>光纤宽带固话接入</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青田全境</w:t>
            </w:r>
          </w:p>
        </w:tc>
      </w:tr>
      <w:tr>
        <w:tblPrEx>
          <w:tblLayout w:type="fixed"/>
          <w:tblCellMar>
            <w:top w:w="0" w:type="dxa"/>
            <w:left w:w="0" w:type="dxa"/>
            <w:bottom w:w="0" w:type="dxa"/>
            <w:right w:w="0" w:type="dxa"/>
          </w:tblCellMar>
        </w:tblPrEx>
        <w:trPr>
          <w:trHeight w:val="563" w:hRule="atLeast"/>
        </w:trPr>
        <w:tc>
          <w:tcPr>
            <w:tcW w:w="14049" w:type="dxa"/>
            <w:gridSpan w:val="7"/>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szCs w:val="21"/>
              </w:rPr>
            </w:pPr>
            <w:r>
              <w:rPr>
                <w:rFonts w:hint="eastAsia" w:ascii="宋体" w:hAnsi="宋体"/>
                <w:b/>
                <w:sz w:val="24"/>
              </w:rPr>
              <w:t>二、产业数字化项目（共计：</w:t>
            </w:r>
            <w:r>
              <w:rPr>
                <w:rFonts w:ascii="宋体" w:hAnsi="宋体"/>
                <w:b/>
                <w:sz w:val="24"/>
              </w:rPr>
              <w:t>5</w:t>
            </w:r>
            <w:r>
              <w:rPr>
                <w:rFonts w:hint="eastAsia" w:ascii="宋体" w:hAnsi="宋体"/>
                <w:b/>
                <w:sz w:val="24"/>
              </w:rPr>
              <w:t>个项目）</w:t>
            </w:r>
          </w:p>
        </w:tc>
      </w:tr>
      <w:tr>
        <w:tblPrEx>
          <w:tblLayout w:type="fixed"/>
          <w:tblCellMar>
            <w:top w:w="0" w:type="dxa"/>
            <w:left w:w="0" w:type="dxa"/>
            <w:bottom w:w="0" w:type="dxa"/>
            <w:right w:w="0" w:type="dxa"/>
          </w:tblCellMar>
        </w:tblPrEx>
        <w:trPr>
          <w:trHeight w:val="270"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1</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ascii="宋体" w:hAnsi="宋体" w:cs="宋体"/>
                <w:szCs w:val="21"/>
              </w:rPr>
              <w:t>智慧</w:t>
            </w:r>
            <w:r>
              <w:rPr>
                <w:rFonts w:hint="eastAsia" w:ascii="宋体" w:hAnsi="宋体" w:cs="宋体"/>
                <w:szCs w:val="21"/>
              </w:rPr>
              <w:t>门店</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cs="宋体"/>
                <w:szCs w:val="21"/>
              </w:rPr>
              <w:t>起步股份有限公司</w:t>
            </w:r>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cs="宋体"/>
                <w:szCs w:val="21"/>
              </w:rPr>
              <w:t>1</w:t>
            </w:r>
            <w:r>
              <w:rPr>
                <w:rFonts w:ascii="宋体" w:hAnsi="宋体" w:cs="宋体"/>
                <w:szCs w:val="21"/>
              </w:rPr>
              <w:t>000</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cs="宋体"/>
                <w:szCs w:val="21"/>
              </w:rPr>
              <w:t>2</w:t>
            </w:r>
            <w:r>
              <w:rPr>
                <w:rFonts w:ascii="宋体" w:hAnsi="宋体" w:cs="宋体"/>
                <w:szCs w:val="21"/>
              </w:rPr>
              <w:t>019</w:t>
            </w:r>
            <w:r>
              <w:rPr>
                <w:rFonts w:hint="eastAsia" w:ascii="宋体" w:hAnsi="宋体" w:cs="宋体"/>
                <w:szCs w:val="21"/>
              </w:rPr>
              <w:t>-</w:t>
            </w:r>
            <w:r>
              <w:rPr>
                <w:rFonts w:ascii="宋体" w:hAnsi="宋体" w:cs="宋体"/>
                <w:szCs w:val="21"/>
              </w:rPr>
              <w:t>2020</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cs="宋体"/>
                <w:szCs w:val="21"/>
              </w:rPr>
              <w:t>通过智慧门店人脸客流分析，可提前一分钟掌握进店顾客信息，实现服务前置和个性化营销，识别会员-联动消费信息-会员服务-精准营销。实现全面的企业管理数据、门店经营数据、客流人点数据与客户人脸数据的采集、沉淀与应用，为经营管理、市场运营提供数据支撑。</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cs="宋体"/>
                <w:szCs w:val="21"/>
              </w:rPr>
              <w:t>油竹新区</w:t>
            </w:r>
          </w:p>
        </w:tc>
      </w:tr>
      <w:tr>
        <w:tblPrEx>
          <w:tblLayout w:type="fixed"/>
          <w:tblCellMar>
            <w:top w:w="0" w:type="dxa"/>
            <w:left w:w="0" w:type="dxa"/>
            <w:bottom w:w="0" w:type="dxa"/>
            <w:right w:w="0" w:type="dxa"/>
          </w:tblCellMar>
        </w:tblPrEx>
        <w:trPr>
          <w:trHeight w:val="270"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szCs w:val="21"/>
              </w:rPr>
            </w:pPr>
            <w:r>
              <w:rPr>
                <w:rFonts w:hint="eastAsia" w:ascii="宋体" w:hAnsi="宋体"/>
                <w:szCs w:val="21"/>
              </w:rPr>
              <w:t>2</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cs="宋体"/>
                <w:szCs w:val="21"/>
              </w:rPr>
              <w:t>年产50亿只压电点火装置智能化组装线</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cs="宋体"/>
                <w:szCs w:val="21"/>
              </w:rPr>
              <w:t>浙江炬光电子科技有限公司</w:t>
            </w:r>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cs="宋体"/>
                <w:szCs w:val="21"/>
              </w:rPr>
              <w:t>7</w:t>
            </w:r>
            <w:r>
              <w:rPr>
                <w:rFonts w:ascii="宋体" w:hAnsi="宋体" w:cs="宋体"/>
                <w:szCs w:val="21"/>
              </w:rPr>
              <w:t>96</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cs="宋体"/>
                <w:szCs w:val="21"/>
              </w:rPr>
              <w:t>2019-</w:t>
            </w:r>
            <w:r>
              <w:rPr>
                <w:rFonts w:ascii="宋体" w:hAnsi="宋体" w:cs="宋体"/>
                <w:szCs w:val="21"/>
              </w:rPr>
              <w:t>2020</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cs="宋体"/>
                <w:szCs w:val="21"/>
              </w:rPr>
              <w:t>年产50亿只压电点火装置组装线的投入与建设，升级了行业内的生产设备，从人工半自动转向智能化全自动，引领行业加速走向标准化，体系化的进程。</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cs="宋体"/>
                <w:szCs w:val="21"/>
              </w:rPr>
              <w:t>高湖镇</w:t>
            </w:r>
          </w:p>
        </w:tc>
      </w:tr>
      <w:tr>
        <w:tblPrEx>
          <w:tblLayout w:type="fixed"/>
          <w:tblCellMar>
            <w:top w:w="0" w:type="dxa"/>
            <w:left w:w="0" w:type="dxa"/>
            <w:bottom w:w="0" w:type="dxa"/>
            <w:right w:w="0" w:type="dxa"/>
          </w:tblCellMar>
        </w:tblPrEx>
        <w:trPr>
          <w:trHeight w:val="270"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szCs w:val="21"/>
              </w:rPr>
            </w:pPr>
            <w:r>
              <w:rPr>
                <w:rFonts w:ascii="宋体" w:hAnsi="宋体"/>
                <w:szCs w:val="21"/>
              </w:rPr>
              <w:t>3</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szCs w:val="21"/>
              </w:rPr>
            </w:pPr>
            <w:r>
              <w:rPr>
                <w:rFonts w:hint="eastAsia" w:ascii="宋体" w:hAnsi="宋体"/>
                <w:szCs w:val="21"/>
              </w:rPr>
              <w:t>全流程模具智能管理系统提升改造</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szCs w:val="21"/>
              </w:rPr>
            </w:pPr>
            <w:r>
              <w:rPr>
                <w:rFonts w:hint="eastAsia" w:ascii="宋体" w:hAnsi="宋体"/>
                <w:szCs w:val="21"/>
              </w:rPr>
              <w:t>青田新机电器有限公司</w:t>
            </w:r>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spacing w:line="320" w:lineRule="exact"/>
              <w:jc w:val="center"/>
              <w:rPr>
                <w:rFonts w:ascii="宋体" w:hAnsi="宋体"/>
                <w:szCs w:val="21"/>
              </w:rPr>
            </w:pPr>
            <w:r>
              <w:rPr>
                <w:rFonts w:hint="eastAsia" w:ascii="宋体" w:hAnsi="宋体"/>
                <w:szCs w:val="21"/>
              </w:rPr>
              <w:t>13</w:t>
            </w:r>
            <w:r>
              <w:rPr>
                <w:rFonts w:ascii="宋体" w:hAnsi="宋体"/>
                <w:szCs w:val="21"/>
              </w:rPr>
              <w:t>5</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spacing w:line="320" w:lineRule="exact"/>
              <w:jc w:val="center"/>
              <w:rPr>
                <w:rFonts w:ascii="宋体" w:hAnsi="宋体"/>
                <w:szCs w:val="21"/>
              </w:rPr>
            </w:pPr>
            <w:r>
              <w:rPr>
                <w:rFonts w:hint="eastAsia" w:ascii="宋体" w:hAnsi="宋体"/>
                <w:szCs w:val="21"/>
              </w:rPr>
              <w:t>2</w:t>
            </w:r>
            <w:r>
              <w:rPr>
                <w:rFonts w:ascii="宋体" w:hAnsi="宋体"/>
                <w:szCs w:val="21"/>
              </w:rPr>
              <w:t>018</w:t>
            </w:r>
            <w:r>
              <w:rPr>
                <w:rFonts w:hint="eastAsia" w:ascii="宋体" w:hAnsi="宋体"/>
                <w:szCs w:val="21"/>
              </w:rPr>
              <w:t>-</w:t>
            </w:r>
            <w:r>
              <w:rPr>
                <w:rFonts w:ascii="宋体" w:hAnsi="宋体"/>
                <w:szCs w:val="21"/>
              </w:rPr>
              <w:t>2020</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spacing w:line="320" w:lineRule="exact"/>
              <w:jc w:val="left"/>
              <w:rPr>
                <w:rFonts w:ascii="宋体" w:hAnsi="宋体"/>
                <w:szCs w:val="21"/>
              </w:rPr>
            </w:pPr>
            <w:r>
              <w:rPr>
                <w:rFonts w:hint="eastAsia" w:ascii="宋体" w:hAnsi="宋体"/>
                <w:szCs w:val="21"/>
              </w:rPr>
              <w:t>通过对模具智能管理系统的提升改造，实现工装模具制造、保养、维修计划的制订与执行；工装模具完工验收；模具位置、寿命、状态、使用履历等相关功能，运用先进的物联网技术实行智能化、自动化、快速化、无纸化的管理，从而减少人工，减少出错，提高速度与效率，真正做到随时随地掌握工装模具的管理状态信息。</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spacing w:line="320" w:lineRule="exact"/>
              <w:jc w:val="center"/>
              <w:rPr>
                <w:rFonts w:ascii="宋体" w:hAnsi="宋体"/>
                <w:szCs w:val="21"/>
              </w:rPr>
            </w:pPr>
            <w:r>
              <w:rPr>
                <w:rFonts w:hint="eastAsia" w:ascii="宋体" w:hAnsi="宋体"/>
                <w:szCs w:val="21"/>
              </w:rPr>
              <w:t>温溪镇</w:t>
            </w:r>
          </w:p>
        </w:tc>
      </w:tr>
      <w:tr>
        <w:tblPrEx>
          <w:tblLayout w:type="fixed"/>
          <w:tblCellMar>
            <w:top w:w="0" w:type="dxa"/>
            <w:left w:w="0" w:type="dxa"/>
            <w:bottom w:w="0" w:type="dxa"/>
            <w:right w:w="0" w:type="dxa"/>
          </w:tblCellMar>
        </w:tblPrEx>
        <w:trPr>
          <w:trHeight w:val="270"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szCs w:val="21"/>
              </w:rPr>
            </w:pPr>
            <w:r>
              <w:rPr>
                <w:rFonts w:ascii="宋体" w:hAnsi="宋体"/>
                <w:szCs w:val="21"/>
              </w:rPr>
              <w:t>4</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szCs w:val="21"/>
              </w:rPr>
            </w:pPr>
            <w:r>
              <w:rPr>
                <w:rFonts w:hint="eastAsia" w:ascii="宋体" w:hAnsi="宋体"/>
                <w:szCs w:val="21"/>
              </w:rPr>
              <w:t>数据中心及智能制造中心建设项目</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szCs w:val="21"/>
              </w:rPr>
            </w:pPr>
            <w:r>
              <w:rPr>
                <w:rFonts w:hint="eastAsia" w:ascii="宋体" w:hAnsi="宋体"/>
                <w:szCs w:val="21"/>
              </w:rPr>
              <w:t>浙江申宇科技股份有限公司</w:t>
            </w:r>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spacing w:line="320" w:lineRule="exact"/>
              <w:jc w:val="center"/>
              <w:rPr>
                <w:rFonts w:ascii="宋体" w:hAnsi="宋体"/>
                <w:szCs w:val="21"/>
              </w:rPr>
            </w:pPr>
            <w:r>
              <w:rPr>
                <w:rFonts w:ascii="宋体" w:hAnsi="宋体"/>
                <w:szCs w:val="21"/>
              </w:rPr>
              <w:t>50000</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spacing w:line="320" w:lineRule="exact"/>
              <w:jc w:val="center"/>
              <w:rPr>
                <w:rFonts w:ascii="宋体" w:hAnsi="宋体"/>
                <w:szCs w:val="21"/>
              </w:rPr>
            </w:pPr>
            <w:r>
              <w:rPr>
                <w:rFonts w:hint="eastAsia" w:ascii="宋体" w:hAnsi="宋体"/>
                <w:szCs w:val="21"/>
              </w:rPr>
              <w:t>2</w:t>
            </w:r>
            <w:r>
              <w:rPr>
                <w:rFonts w:ascii="宋体" w:hAnsi="宋体"/>
                <w:szCs w:val="21"/>
              </w:rPr>
              <w:t>019</w:t>
            </w:r>
            <w:r>
              <w:rPr>
                <w:rFonts w:hint="eastAsia" w:ascii="宋体" w:hAnsi="宋体"/>
                <w:szCs w:val="21"/>
              </w:rPr>
              <w:t>-</w:t>
            </w:r>
            <w:r>
              <w:rPr>
                <w:rFonts w:ascii="宋体" w:hAnsi="宋体"/>
                <w:szCs w:val="21"/>
              </w:rPr>
              <w:t>2022</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spacing w:line="320" w:lineRule="exact"/>
              <w:jc w:val="left"/>
              <w:rPr>
                <w:rFonts w:ascii="宋体" w:hAnsi="宋体"/>
                <w:szCs w:val="21"/>
              </w:rPr>
            </w:pPr>
            <w:r>
              <w:rPr>
                <w:rFonts w:hint="eastAsia" w:ascii="宋体" w:hAnsi="宋体"/>
                <w:szCs w:val="21"/>
              </w:rPr>
              <w:t>依托信息网络服务体系建设，引入先进的科研、商务、管理软件系统及其它配套设施，改造现有生产线，实现生产过程中的自动化控制和企业经营管理现代化，提高企业效率，促进企业快速发展。</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spacing w:line="320" w:lineRule="exact"/>
              <w:jc w:val="center"/>
              <w:rPr>
                <w:rFonts w:ascii="宋体" w:hAnsi="宋体"/>
                <w:szCs w:val="21"/>
              </w:rPr>
            </w:pPr>
            <w:r>
              <w:rPr>
                <w:rFonts w:hint="eastAsia" w:ascii="宋体" w:hAnsi="宋体" w:cs="宋体"/>
                <w:szCs w:val="21"/>
              </w:rPr>
              <w:t>油竹新区</w:t>
            </w:r>
          </w:p>
        </w:tc>
      </w:tr>
      <w:tr>
        <w:tblPrEx>
          <w:tblLayout w:type="fixed"/>
          <w:tblCellMar>
            <w:top w:w="0" w:type="dxa"/>
            <w:left w:w="0" w:type="dxa"/>
            <w:bottom w:w="0" w:type="dxa"/>
            <w:right w:w="0" w:type="dxa"/>
          </w:tblCellMar>
        </w:tblPrEx>
        <w:trPr>
          <w:trHeight w:val="270"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szCs w:val="21"/>
              </w:rPr>
            </w:pPr>
            <w:r>
              <w:rPr>
                <w:rFonts w:ascii="宋体" w:hAnsi="宋体"/>
                <w:szCs w:val="21"/>
              </w:rPr>
              <w:t>5</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szCs w:val="21"/>
              </w:rPr>
            </w:pPr>
            <w:r>
              <w:rPr>
                <w:rFonts w:hint="eastAsia" w:ascii="宋体" w:hAnsi="宋体"/>
                <w:szCs w:val="21"/>
              </w:rPr>
              <w:t>年产300吨模具智能化生产改进</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szCs w:val="21"/>
              </w:rPr>
            </w:pPr>
            <w:r>
              <w:rPr>
                <w:rFonts w:hint="eastAsia" w:ascii="宋体" w:hAnsi="宋体"/>
                <w:szCs w:val="21"/>
              </w:rPr>
              <w:t>青田前程标准件有限公司</w:t>
            </w:r>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spacing w:line="320" w:lineRule="exact"/>
              <w:jc w:val="center"/>
              <w:rPr>
                <w:rFonts w:ascii="宋体" w:hAnsi="宋体"/>
                <w:szCs w:val="21"/>
              </w:rPr>
            </w:pPr>
            <w:r>
              <w:rPr>
                <w:rFonts w:hint="eastAsia" w:ascii="宋体" w:hAnsi="宋体"/>
                <w:szCs w:val="21"/>
              </w:rPr>
              <w:t>2</w:t>
            </w:r>
            <w:r>
              <w:rPr>
                <w:rFonts w:ascii="宋体" w:hAnsi="宋体"/>
                <w:szCs w:val="21"/>
              </w:rPr>
              <w:t>04</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spacing w:line="320" w:lineRule="exact"/>
              <w:jc w:val="center"/>
              <w:rPr>
                <w:rFonts w:ascii="宋体" w:hAnsi="宋体"/>
                <w:szCs w:val="21"/>
              </w:rPr>
            </w:pPr>
            <w:r>
              <w:rPr>
                <w:rFonts w:hint="eastAsia" w:ascii="宋体" w:hAnsi="宋体"/>
                <w:szCs w:val="21"/>
              </w:rPr>
              <w:t>2</w:t>
            </w:r>
            <w:r>
              <w:rPr>
                <w:rFonts w:ascii="宋体" w:hAnsi="宋体"/>
                <w:szCs w:val="21"/>
              </w:rPr>
              <w:t>019</w:t>
            </w:r>
            <w:r>
              <w:rPr>
                <w:rFonts w:hint="eastAsia" w:ascii="宋体" w:hAnsi="宋体"/>
                <w:szCs w:val="21"/>
              </w:rPr>
              <w:t>-</w:t>
            </w:r>
            <w:r>
              <w:rPr>
                <w:rFonts w:ascii="宋体" w:hAnsi="宋体"/>
                <w:szCs w:val="21"/>
              </w:rPr>
              <w:t>2020</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spacing w:line="320" w:lineRule="exact"/>
              <w:rPr>
                <w:rFonts w:ascii="宋体" w:hAnsi="宋体"/>
                <w:szCs w:val="21"/>
              </w:rPr>
            </w:pPr>
            <w:r>
              <w:rPr>
                <w:rFonts w:hint="eastAsia" w:ascii="宋体" w:hAnsi="宋体"/>
                <w:szCs w:val="21"/>
              </w:rPr>
              <w:t>年产300吨的模具生产改进项目，淘汰老的设备，以数控化、高速化的先进生产设备为基础，以精益求精的技术，形成更先进的生产模式。随着该项目的深入化发展，将极力改善公司现有生产质量，减少劳动用工，降低生产成本，提高经济效益和产品竞争力。</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spacing w:line="320" w:lineRule="exact"/>
              <w:jc w:val="center"/>
              <w:rPr>
                <w:rFonts w:ascii="宋体" w:hAnsi="宋体"/>
                <w:szCs w:val="21"/>
              </w:rPr>
            </w:pPr>
            <w:r>
              <w:rPr>
                <w:rFonts w:hint="eastAsia" w:ascii="宋体" w:hAnsi="宋体"/>
                <w:szCs w:val="21"/>
              </w:rPr>
              <w:t>船寮镇</w:t>
            </w:r>
          </w:p>
        </w:tc>
      </w:tr>
      <w:tr>
        <w:tblPrEx>
          <w:tblLayout w:type="fixed"/>
          <w:tblCellMar>
            <w:top w:w="0" w:type="dxa"/>
            <w:left w:w="0" w:type="dxa"/>
            <w:bottom w:w="0" w:type="dxa"/>
            <w:right w:w="0" w:type="dxa"/>
          </w:tblCellMar>
        </w:tblPrEx>
        <w:trPr>
          <w:trHeight w:val="689" w:hRule="atLeast"/>
        </w:trPr>
        <w:tc>
          <w:tcPr>
            <w:tcW w:w="14049"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 w:val="18"/>
                <w:szCs w:val="18"/>
              </w:rPr>
            </w:pPr>
            <w:r>
              <w:rPr>
                <w:rFonts w:hint="eastAsia" w:ascii="宋体" w:hAnsi="宋体"/>
                <w:b/>
                <w:sz w:val="24"/>
              </w:rPr>
              <w:t>三、数字化治理项目（共计：</w:t>
            </w:r>
            <w:r>
              <w:rPr>
                <w:rFonts w:ascii="宋体" w:hAnsi="宋体"/>
                <w:b/>
                <w:sz w:val="24"/>
              </w:rPr>
              <w:t>6</w:t>
            </w:r>
            <w:r>
              <w:rPr>
                <w:rFonts w:hint="eastAsia" w:ascii="宋体" w:hAnsi="宋体"/>
                <w:b/>
                <w:sz w:val="24"/>
              </w:rPr>
              <w:t>个项目）</w:t>
            </w:r>
          </w:p>
        </w:tc>
      </w:tr>
      <w:tr>
        <w:tblPrEx>
          <w:tblLayout w:type="fixed"/>
          <w:tblCellMar>
            <w:top w:w="0" w:type="dxa"/>
            <w:left w:w="0" w:type="dxa"/>
            <w:bottom w:w="0" w:type="dxa"/>
            <w:right w:w="0" w:type="dxa"/>
          </w:tblCellMar>
        </w:tblPrEx>
        <w:trPr>
          <w:trHeight w:val="270"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1</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智慧农业、农机管家</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通信运营商</w:t>
            </w:r>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610</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2016-2021</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cs="宋体"/>
                <w:szCs w:val="21"/>
              </w:rPr>
              <w:t>建设农业应急指挥中心，数据采集，视频监控；</w:t>
            </w:r>
            <w:r>
              <w:rPr>
                <w:rFonts w:hint="eastAsia" w:ascii="宋体" w:hAnsi="宋体"/>
                <w:szCs w:val="21"/>
              </w:rPr>
              <w:t>基于北斗导航的农业生产监控管理平台建设。</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青田全境</w:t>
            </w:r>
          </w:p>
        </w:tc>
      </w:tr>
      <w:tr>
        <w:tblPrEx>
          <w:tblLayout w:type="fixed"/>
          <w:tblCellMar>
            <w:top w:w="0" w:type="dxa"/>
            <w:left w:w="0" w:type="dxa"/>
            <w:bottom w:w="0" w:type="dxa"/>
            <w:right w:w="0" w:type="dxa"/>
          </w:tblCellMar>
        </w:tblPrEx>
        <w:trPr>
          <w:trHeight w:val="270"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szCs w:val="21"/>
              </w:rPr>
            </w:pPr>
            <w:r>
              <w:rPr>
                <w:rFonts w:hint="eastAsia" w:ascii="宋体" w:hAnsi="宋体"/>
                <w:szCs w:val="21"/>
              </w:rPr>
              <w:t>2</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szCs w:val="21"/>
              </w:rPr>
            </w:pPr>
            <w:r>
              <w:rPr>
                <w:rFonts w:hint="eastAsia" w:ascii="宋体" w:hAnsi="宋体"/>
                <w:szCs w:val="21"/>
              </w:rPr>
              <w:t>智慧旅游</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szCs w:val="21"/>
              </w:rPr>
            </w:pPr>
            <w:r>
              <w:rPr>
                <w:rFonts w:hint="eastAsia" w:ascii="宋体" w:hAnsi="宋体"/>
                <w:szCs w:val="21"/>
              </w:rPr>
              <w:t>通信运营商</w:t>
            </w:r>
            <w:bookmarkStart w:id="25" w:name="_GoBack"/>
            <w:bookmarkEnd w:id="25"/>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szCs w:val="21"/>
              </w:rPr>
            </w:pPr>
            <w:r>
              <w:rPr>
                <w:rFonts w:hint="eastAsia" w:ascii="宋体" w:hAnsi="宋体"/>
                <w:szCs w:val="21"/>
              </w:rPr>
              <w:t>1300</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szCs w:val="21"/>
              </w:rPr>
            </w:pPr>
            <w:r>
              <w:rPr>
                <w:rFonts w:hint="eastAsia" w:ascii="宋体" w:hAnsi="宋体"/>
                <w:szCs w:val="21"/>
              </w:rPr>
              <w:t>2016-2021</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建设旅游等物联网平台，推进</w:t>
            </w:r>
            <w:r>
              <w:rPr>
                <w:rFonts w:hint="eastAsia" w:ascii="宋体" w:hAnsi="宋体" w:cs="宋体"/>
                <w:szCs w:val="21"/>
              </w:rPr>
              <w:t>景区监控、智慧旅游平台建设</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szCs w:val="21"/>
              </w:rPr>
            </w:pPr>
          </w:p>
        </w:tc>
      </w:tr>
      <w:tr>
        <w:tblPrEx>
          <w:tblLayout w:type="fixed"/>
          <w:tblCellMar>
            <w:top w:w="0" w:type="dxa"/>
            <w:left w:w="0" w:type="dxa"/>
            <w:bottom w:w="0" w:type="dxa"/>
            <w:right w:w="0" w:type="dxa"/>
          </w:tblCellMar>
        </w:tblPrEx>
        <w:trPr>
          <w:trHeight w:val="270"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3</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平安校园</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通信运营商</w:t>
            </w:r>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330</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2016-2021</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校园消费管理一体化平台建设</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青田全境</w:t>
            </w:r>
          </w:p>
        </w:tc>
      </w:tr>
      <w:tr>
        <w:tblPrEx>
          <w:tblLayout w:type="fixed"/>
          <w:tblCellMar>
            <w:top w:w="0" w:type="dxa"/>
            <w:left w:w="0" w:type="dxa"/>
            <w:bottom w:w="0" w:type="dxa"/>
            <w:right w:w="0" w:type="dxa"/>
          </w:tblCellMar>
        </w:tblPrEx>
        <w:trPr>
          <w:trHeight w:val="270"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ascii="宋体" w:hAnsi="宋体"/>
                <w:szCs w:val="21"/>
              </w:rPr>
              <w:t>4</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青田县气象现代化能力提升工程</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ascii="宋体" w:hAnsi="宋体" w:cs="宋体"/>
                <w:szCs w:val="21"/>
              </w:rPr>
              <w:t>气象局</w:t>
            </w:r>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5000</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2016-2020</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1、气象灾害监测自动化提升工程；2、天气预报预警精准化工程；3、气象信息服务“云传播”工程；4、基层气象防灾减灾能力提升工程；5、生态气候资源开发利用工程</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鹤城街道</w:t>
            </w:r>
          </w:p>
        </w:tc>
      </w:tr>
      <w:tr>
        <w:tblPrEx>
          <w:tblLayout w:type="fixed"/>
          <w:tblCellMar>
            <w:top w:w="0" w:type="dxa"/>
            <w:left w:w="0" w:type="dxa"/>
            <w:bottom w:w="0" w:type="dxa"/>
            <w:right w:w="0" w:type="dxa"/>
          </w:tblCellMar>
        </w:tblPrEx>
        <w:trPr>
          <w:trHeight w:val="270"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ascii="宋体" w:hAnsi="宋体"/>
                <w:szCs w:val="21"/>
              </w:rPr>
              <w:t>5</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青田县环境监测与信息化系统工程</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ascii="宋体" w:hAnsi="宋体" w:cs="宋体"/>
                <w:szCs w:val="21"/>
              </w:rPr>
              <w:t>环保局</w:t>
            </w:r>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2000</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2016-2020</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环境监测实验室整体搬迁，扩建；新建重点企业在线监测，瓯江流域在线监测等系统</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相关乡镇</w:t>
            </w:r>
          </w:p>
        </w:tc>
      </w:tr>
      <w:tr>
        <w:tblPrEx>
          <w:tblLayout w:type="fixed"/>
          <w:tblCellMar>
            <w:top w:w="0" w:type="dxa"/>
            <w:left w:w="0" w:type="dxa"/>
            <w:bottom w:w="0" w:type="dxa"/>
            <w:right w:w="0" w:type="dxa"/>
          </w:tblCellMar>
        </w:tblPrEx>
        <w:trPr>
          <w:trHeight w:val="270" w:hRule="atLeast"/>
        </w:trPr>
        <w:tc>
          <w:tcPr>
            <w:tcW w:w="724"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ascii="宋体" w:hAnsi="宋体"/>
                <w:szCs w:val="21"/>
              </w:rPr>
              <w:t>6</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天网智能卡口和监控</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通信运营商</w:t>
            </w:r>
          </w:p>
        </w:tc>
        <w:tc>
          <w:tcPr>
            <w:tcW w:w="18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9000</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2016-2020</w:t>
            </w:r>
          </w:p>
        </w:tc>
        <w:tc>
          <w:tcPr>
            <w:tcW w:w="524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left"/>
              <w:rPr>
                <w:rFonts w:ascii="宋体" w:hAnsi="宋体" w:cs="宋体"/>
                <w:szCs w:val="21"/>
              </w:rPr>
            </w:pPr>
            <w:r>
              <w:rPr>
                <w:rFonts w:hint="eastAsia" w:ascii="宋体" w:hAnsi="宋体"/>
                <w:szCs w:val="21"/>
              </w:rPr>
              <w:t>青田天网工程系统及智慧城市等</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20" w:lineRule="exact"/>
              <w:jc w:val="center"/>
              <w:rPr>
                <w:rFonts w:ascii="宋体" w:hAnsi="宋体" w:cs="宋体"/>
                <w:szCs w:val="21"/>
              </w:rPr>
            </w:pPr>
            <w:r>
              <w:rPr>
                <w:rFonts w:hint="eastAsia" w:ascii="宋体" w:hAnsi="宋体"/>
                <w:szCs w:val="21"/>
              </w:rPr>
              <w:t>青田全境</w:t>
            </w:r>
          </w:p>
        </w:tc>
      </w:tr>
    </w:tbl>
    <w:p>
      <w:pPr>
        <w:rPr>
          <w:rFonts w:ascii="仿宋" w:hAnsi="仿宋" w:eastAsia="仿宋" w:cs="仿宋"/>
          <w:bCs/>
          <w:sz w:val="32"/>
          <w:szCs w:val="32"/>
        </w:rPr>
      </w:pPr>
    </w:p>
    <w:sectPr>
      <w:pgSz w:w="16838" w:h="11906" w:orient="landscape"/>
      <w:pgMar w:top="1797" w:right="1440" w:bottom="1797" w:left="1440"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Cambria">
    <w:altName w:val="Courier New"/>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Courier New">
    <w:panose1 w:val="02070309020205020404"/>
    <w:charset w:val="00"/>
    <w:family w:val="roman"/>
    <w:pitch w:val="default"/>
    <w:sig w:usb0="00007A87" w:usb1="80000000" w:usb2="00000008" w:usb3="00000000" w:csb0="400001FF" w:csb1="FFFF0000"/>
  </w:font>
  <w:font w:name="新宋体">
    <w:panose1 w:val="02010609030101010101"/>
    <w:charset w:val="86"/>
    <w:family w:val="auto"/>
    <w:pitch w:val="default"/>
    <w:sig w:usb0="00000003"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美黑简体">
    <w:panose1 w:val="02010601030101010101"/>
    <w:charset w:val="86"/>
    <w:family w:val="auto"/>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29</w:t>
    </w:r>
    <w:r>
      <w:rPr>
        <w:lang w:val="zh-CN"/>
      </w:rP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9"/>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04257D"/>
    <w:rsid w:val="000014CA"/>
    <w:rsid w:val="000050F0"/>
    <w:rsid w:val="000133CE"/>
    <w:rsid w:val="00014A9F"/>
    <w:rsid w:val="00023810"/>
    <w:rsid w:val="000354CC"/>
    <w:rsid w:val="000354EA"/>
    <w:rsid w:val="00035DE7"/>
    <w:rsid w:val="00036911"/>
    <w:rsid w:val="000401FC"/>
    <w:rsid w:val="00053675"/>
    <w:rsid w:val="00081FD4"/>
    <w:rsid w:val="000855B9"/>
    <w:rsid w:val="00092D69"/>
    <w:rsid w:val="000A3AF1"/>
    <w:rsid w:val="000B0856"/>
    <w:rsid w:val="000B1FC9"/>
    <w:rsid w:val="000C29F4"/>
    <w:rsid w:val="000C4881"/>
    <w:rsid w:val="000C60D8"/>
    <w:rsid w:val="000D0652"/>
    <w:rsid w:val="000D4978"/>
    <w:rsid w:val="000D6BF6"/>
    <w:rsid w:val="000E56DF"/>
    <w:rsid w:val="000E7EA2"/>
    <w:rsid w:val="000F2981"/>
    <w:rsid w:val="00102934"/>
    <w:rsid w:val="001042CC"/>
    <w:rsid w:val="00111E8A"/>
    <w:rsid w:val="00112567"/>
    <w:rsid w:val="00121E9B"/>
    <w:rsid w:val="00132A34"/>
    <w:rsid w:val="00134379"/>
    <w:rsid w:val="0013764D"/>
    <w:rsid w:val="00153509"/>
    <w:rsid w:val="00161249"/>
    <w:rsid w:val="00167642"/>
    <w:rsid w:val="00173930"/>
    <w:rsid w:val="00175CD4"/>
    <w:rsid w:val="00184243"/>
    <w:rsid w:val="00185933"/>
    <w:rsid w:val="00185CF4"/>
    <w:rsid w:val="00191608"/>
    <w:rsid w:val="001B7AD9"/>
    <w:rsid w:val="001C1300"/>
    <w:rsid w:val="001D33DF"/>
    <w:rsid w:val="001D7AC2"/>
    <w:rsid w:val="001E3095"/>
    <w:rsid w:val="001E50EB"/>
    <w:rsid w:val="001E7917"/>
    <w:rsid w:val="00214B7B"/>
    <w:rsid w:val="002179CD"/>
    <w:rsid w:val="0022301A"/>
    <w:rsid w:val="00224565"/>
    <w:rsid w:val="00231CE6"/>
    <w:rsid w:val="002372F5"/>
    <w:rsid w:val="002409F4"/>
    <w:rsid w:val="00250075"/>
    <w:rsid w:val="002557A3"/>
    <w:rsid w:val="0026170E"/>
    <w:rsid w:val="00263480"/>
    <w:rsid w:val="00265283"/>
    <w:rsid w:val="0026656F"/>
    <w:rsid w:val="00267342"/>
    <w:rsid w:val="00277A36"/>
    <w:rsid w:val="00277D4E"/>
    <w:rsid w:val="00283897"/>
    <w:rsid w:val="00283C61"/>
    <w:rsid w:val="00286C64"/>
    <w:rsid w:val="00293523"/>
    <w:rsid w:val="002A1703"/>
    <w:rsid w:val="002A3137"/>
    <w:rsid w:val="002B082F"/>
    <w:rsid w:val="002B567F"/>
    <w:rsid w:val="002B7C76"/>
    <w:rsid w:val="002D3EEC"/>
    <w:rsid w:val="002D3FFE"/>
    <w:rsid w:val="002D5AC1"/>
    <w:rsid w:val="002D6706"/>
    <w:rsid w:val="002E3FCF"/>
    <w:rsid w:val="002E40E7"/>
    <w:rsid w:val="002E5237"/>
    <w:rsid w:val="0030259A"/>
    <w:rsid w:val="00307C1A"/>
    <w:rsid w:val="00311C10"/>
    <w:rsid w:val="0032329F"/>
    <w:rsid w:val="00342586"/>
    <w:rsid w:val="00342E58"/>
    <w:rsid w:val="003528C0"/>
    <w:rsid w:val="00360EE4"/>
    <w:rsid w:val="00376AEC"/>
    <w:rsid w:val="003803AB"/>
    <w:rsid w:val="003879E5"/>
    <w:rsid w:val="00394CEB"/>
    <w:rsid w:val="00397868"/>
    <w:rsid w:val="003A1B0B"/>
    <w:rsid w:val="003A2F3F"/>
    <w:rsid w:val="003A5010"/>
    <w:rsid w:val="003A7753"/>
    <w:rsid w:val="003B1234"/>
    <w:rsid w:val="003B3312"/>
    <w:rsid w:val="003B3ADE"/>
    <w:rsid w:val="003B6D56"/>
    <w:rsid w:val="003C0A3D"/>
    <w:rsid w:val="003C585A"/>
    <w:rsid w:val="003D0B39"/>
    <w:rsid w:val="003D2C14"/>
    <w:rsid w:val="003D4789"/>
    <w:rsid w:val="003D53A6"/>
    <w:rsid w:val="003E0499"/>
    <w:rsid w:val="003E5EBA"/>
    <w:rsid w:val="003F16A7"/>
    <w:rsid w:val="003F1BD0"/>
    <w:rsid w:val="003F2AED"/>
    <w:rsid w:val="004105C1"/>
    <w:rsid w:val="004157EE"/>
    <w:rsid w:val="00426486"/>
    <w:rsid w:val="00430094"/>
    <w:rsid w:val="00430D20"/>
    <w:rsid w:val="004320EB"/>
    <w:rsid w:val="00442CC6"/>
    <w:rsid w:val="00466353"/>
    <w:rsid w:val="00470514"/>
    <w:rsid w:val="004804A5"/>
    <w:rsid w:val="0048181D"/>
    <w:rsid w:val="00482980"/>
    <w:rsid w:val="0048309F"/>
    <w:rsid w:val="004856E6"/>
    <w:rsid w:val="00490643"/>
    <w:rsid w:val="00492B3A"/>
    <w:rsid w:val="00495508"/>
    <w:rsid w:val="004A02FD"/>
    <w:rsid w:val="004A07A1"/>
    <w:rsid w:val="004A2ACC"/>
    <w:rsid w:val="004B3D8A"/>
    <w:rsid w:val="004B5B03"/>
    <w:rsid w:val="004C1C26"/>
    <w:rsid w:val="004D2B63"/>
    <w:rsid w:val="004D3954"/>
    <w:rsid w:val="004D6740"/>
    <w:rsid w:val="004E2862"/>
    <w:rsid w:val="004E5B21"/>
    <w:rsid w:val="004F0BC2"/>
    <w:rsid w:val="004F3E3C"/>
    <w:rsid w:val="0050272C"/>
    <w:rsid w:val="00510ACD"/>
    <w:rsid w:val="005347B8"/>
    <w:rsid w:val="0054533C"/>
    <w:rsid w:val="00553C46"/>
    <w:rsid w:val="00555119"/>
    <w:rsid w:val="00555B59"/>
    <w:rsid w:val="0056317A"/>
    <w:rsid w:val="005631AC"/>
    <w:rsid w:val="005666DB"/>
    <w:rsid w:val="00566F14"/>
    <w:rsid w:val="0056723B"/>
    <w:rsid w:val="00574458"/>
    <w:rsid w:val="00576680"/>
    <w:rsid w:val="00581BF6"/>
    <w:rsid w:val="00584F9B"/>
    <w:rsid w:val="00590BDF"/>
    <w:rsid w:val="005931FE"/>
    <w:rsid w:val="00593BFC"/>
    <w:rsid w:val="00596AAF"/>
    <w:rsid w:val="00596C77"/>
    <w:rsid w:val="005A54EA"/>
    <w:rsid w:val="005B0D6E"/>
    <w:rsid w:val="005B1451"/>
    <w:rsid w:val="005C2643"/>
    <w:rsid w:val="005C3192"/>
    <w:rsid w:val="005C5A62"/>
    <w:rsid w:val="005D145F"/>
    <w:rsid w:val="005D7DEB"/>
    <w:rsid w:val="005E21C9"/>
    <w:rsid w:val="005E5DFB"/>
    <w:rsid w:val="005F7E0A"/>
    <w:rsid w:val="00603204"/>
    <w:rsid w:val="00604F40"/>
    <w:rsid w:val="006216DF"/>
    <w:rsid w:val="006226CA"/>
    <w:rsid w:val="00622ECB"/>
    <w:rsid w:val="00625D23"/>
    <w:rsid w:val="006344C2"/>
    <w:rsid w:val="00654E37"/>
    <w:rsid w:val="00655BE7"/>
    <w:rsid w:val="00663220"/>
    <w:rsid w:val="0066671A"/>
    <w:rsid w:val="0067222F"/>
    <w:rsid w:val="006738CA"/>
    <w:rsid w:val="006749B7"/>
    <w:rsid w:val="00683C4E"/>
    <w:rsid w:val="00692F34"/>
    <w:rsid w:val="00695811"/>
    <w:rsid w:val="006A15C6"/>
    <w:rsid w:val="006A5A9B"/>
    <w:rsid w:val="006B3ABE"/>
    <w:rsid w:val="006B6168"/>
    <w:rsid w:val="006C1E49"/>
    <w:rsid w:val="006D0005"/>
    <w:rsid w:val="006D0A40"/>
    <w:rsid w:val="006D155A"/>
    <w:rsid w:val="006D2906"/>
    <w:rsid w:val="006D39EF"/>
    <w:rsid w:val="006D5DA1"/>
    <w:rsid w:val="006E25CB"/>
    <w:rsid w:val="006F1822"/>
    <w:rsid w:val="006F600F"/>
    <w:rsid w:val="00714003"/>
    <w:rsid w:val="0072154A"/>
    <w:rsid w:val="007260F3"/>
    <w:rsid w:val="0073738C"/>
    <w:rsid w:val="007406A4"/>
    <w:rsid w:val="00741BAB"/>
    <w:rsid w:val="0074219C"/>
    <w:rsid w:val="0074328A"/>
    <w:rsid w:val="00744EF6"/>
    <w:rsid w:val="00747352"/>
    <w:rsid w:val="00752A2F"/>
    <w:rsid w:val="00760E1F"/>
    <w:rsid w:val="00765AB0"/>
    <w:rsid w:val="00776D29"/>
    <w:rsid w:val="00784124"/>
    <w:rsid w:val="007857BC"/>
    <w:rsid w:val="00786EBD"/>
    <w:rsid w:val="00794DE0"/>
    <w:rsid w:val="007A3096"/>
    <w:rsid w:val="007A453C"/>
    <w:rsid w:val="007A6FDE"/>
    <w:rsid w:val="007B3A8C"/>
    <w:rsid w:val="007C0735"/>
    <w:rsid w:val="007C2DAF"/>
    <w:rsid w:val="007D0BF3"/>
    <w:rsid w:val="007D2BBB"/>
    <w:rsid w:val="007E3541"/>
    <w:rsid w:val="007F206E"/>
    <w:rsid w:val="00805791"/>
    <w:rsid w:val="00806B6E"/>
    <w:rsid w:val="00806C31"/>
    <w:rsid w:val="008156E4"/>
    <w:rsid w:val="008225E5"/>
    <w:rsid w:val="00824503"/>
    <w:rsid w:val="00825135"/>
    <w:rsid w:val="00827C28"/>
    <w:rsid w:val="00827C47"/>
    <w:rsid w:val="008321A8"/>
    <w:rsid w:val="00832D19"/>
    <w:rsid w:val="00835F03"/>
    <w:rsid w:val="0083675E"/>
    <w:rsid w:val="0083741A"/>
    <w:rsid w:val="00842322"/>
    <w:rsid w:val="00843F7D"/>
    <w:rsid w:val="0084604C"/>
    <w:rsid w:val="008532D6"/>
    <w:rsid w:val="00853993"/>
    <w:rsid w:val="008675DF"/>
    <w:rsid w:val="00871F1C"/>
    <w:rsid w:val="00875A81"/>
    <w:rsid w:val="00877399"/>
    <w:rsid w:val="00877C61"/>
    <w:rsid w:val="008808D8"/>
    <w:rsid w:val="00882370"/>
    <w:rsid w:val="00886BE1"/>
    <w:rsid w:val="008A2283"/>
    <w:rsid w:val="008A5A76"/>
    <w:rsid w:val="008B49AF"/>
    <w:rsid w:val="008C16FB"/>
    <w:rsid w:val="008C2D91"/>
    <w:rsid w:val="008C4D70"/>
    <w:rsid w:val="008C5DF0"/>
    <w:rsid w:val="008D0111"/>
    <w:rsid w:val="008E236F"/>
    <w:rsid w:val="008F024C"/>
    <w:rsid w:val="008F233D"/>
    <w:rsid w:val="00901DC0"/>
    <w:rsid w:val="009023D5"/>
    <w:rsid w:val="00904008"/>
    <w:rsid w:val="00911CC9"/>
    <w:rsid w:val="00914203"/>
    <w:rsid w:val="0091453D"/>
    <w:rsid w:val="0091494F"/>
    <w:rsid w:val="00917AF5"/>
    <w:rsid w:val="0092454C"/>
    <w:rsid w:val="0093321F"/>
    <w:rsid w:val="00934007"/>
    <w:rsid w:val="00937F1E"/>
    <w:rsid w:val="00942AD8"/>
    <w:rsid w:val="00950CF0"/>
    <w:rsid w:val="009559B1"/>
    <w:rsid w:val="00956C5D"/>
    <w:rsid w:val="0096334C"/>
    <w:rsid w:val="009658BF"/>
    <w:rsid w:val="00967BE7"/>
    <w:rsid w:val="00972C74"/>
    <w:rsid w:val="00974644"/>
    <w:rsid w:val="00980C4A"/>
    <w:rsid w:val="00987756"/>
    <w:rsid w:val="0099244C"/>
    <w:rsid w:val="00992676"/>
    <w:rsid w:val="00995955"/>
    <w:rsid w:val="009C05FB"/>
    <w:rsid w:val="009C2449"/>
    <w:rsid w:val="009C277F"/>
    <w:rsid w:val="009C6C70"/>
    <w:rsid w:val="009E295E"/>
    <w:rsid w:val="009E651B"/>
    <w:rsid w:val="009E6ED9"/>
    <w:rsid w:val="009E71BD"/>
    <w:rsid w:val="009F2089"/>
    <w:rsid w:val="009F487C"/>
    <w:rsid w:val="009F7F91"/>
    <w:rsid w:val="00A1585F"/>
    <w:rsid w:val="00A16C1D"/>
    <w:rsid w:val="00A17FFD"/>
    <w:rsid w:val="00A20248"/>
    <w:rsid w:val="00A277AD"/>
    <w:rsid w:val="00A32B73"/>
    <w:rsid w:val="00A3424B"/>
    <w:rsid w:val="00A4213E"/>
    <w:rsid w:val="00A42EFD"/>
    <w:rsid w:val="00A463BC"/>
    <w:rsid w:val="00A700E3"/>
    <w:rsid w:val="00A71EB1"/>
    <w:rsid w:val="00A8088E"/>
    <w:rsid w:val="00A96695"/>
    <w:rsid w:val="00AA0EDA"/>
    <w:rsid w:val="00AB11C8"/>
    <w:rsid w:val="00AB231E"/>
    <w:rsid w:val="00AC0918"/>
    <w:rsid w:val="00AC24E8"/>
    <w:rsid w:val="00AC34F9"/>
    <w:rsid w:val="00AC6761"/>
    <w:rsid w:val="00AD01B1"/>
    <w:rsid w:val="00AE12F3"/>
    <w:rsid w:val="00AE1440"/>
    <w:rsid w:val="00AF269D"/>
    <w:rsid w:val="00AF6CE3"/>
    <w:rsid w:val="00B0444B"/>
    <w:rsid w:val="00B12F51"/>
    <w:rsid w:val="00B13741"/>
    <w:rsid w:val="00B2257F"/>
    <w:rsid w:val="00B23104"/>
    <w:rsid w:val="00B25D91"/>
    <w:rsid w:val="00B2666C"/>
    <w:rsid w:val="00B360A4"/>
    <w:rsid w:val="00B422EF"/>
    <w:rsid w:val="00B436EE"/>
    <w:rsid w:val="00B53F11"/>
    <w:rsid w:val="00B57C0B"/>
    <w:rsid w:val="00B609F4"/>
    <w:rsid w:val="00B63A85"/>
    <w:rsid w:val="00B6511E"/>
    <w:rsid w:val="00B70EB1"/>
    <w:rsid w:val="00B716F3"/>
    <w:rsid w:val="00B752F0"/>
    <w:rsid w:val="00B91C5F"/>
    <w:rsid w:val="00B950BC"/>
    <w:rsid w:val="00B9564C"/>
    <w:rsid w:val="00B960CE"/>
    <w:rsid w:val="00B96E37"/>
    <w:rsid w:val="00BA19C1"/>
    <w:rsid w:val="00BA2C77"/>
    <w:rsid w:val="00BA428D"/>
    <w:rsid w:val="00BB5F1D"/>
    <w:rsid w:val="00BC55EC"/>
    <w:rsid w:val="00BC609C"/>
    <w:rsid w:val="00BC60D3"/>
    <w:rsid w:val="00BD00F6"/>
    <w:rsid w:val="00BD1896"/>
    <w:rsid w:val="00BD3C7C"/>
    <w:rsid w:val="00BD434A"/>
    <w:rsid w:val="00BD4E31"/>
    <w:rsid w:val="00BD5C37"/>
    <w:rsid w:val="00BD6105"/>
    <w:rsid w:val="00BE1A8F"/>
    <w:rsid w:val="00BE36C3"/>
    <w:rsid w:val="00BE3DE1"/>
    <w:rsid w:val="00BE77EA"/>
    <w:rsid w:val="00BF0255"/>
    <w:rsid w:val="00BF6426"/>
    <w:rsid w:val="00C00848"/>
    <w:rsid w:val="00C01471"/>
    <w:rsid w:val="00C018B6"/>
    <w:rsid w:val="00C05BD2"/>
    <w:rsid w:val="00C07550"/>
    <w:rsid w:val="00C15119"/>
    <w:rsid w:val="00C24D8B"/>
    <w:rsid w:val="00C26CE4"/>
    <w:rsid w:val="00C31963"/>
    <w:rsid w:val="00C3239D"/>
    <w:rsid w:val="00C35E04"/>
    <w:rsid w:val="00C5152C"/>
    <w:rsid w:val="00C54BD7"/>
    <w:rsid w:val="00C60EA7"/>
    <w:rsid w:val="00C63A00"/>
    <w:rsid w:val="00C64049"/>
    <w:rsid w:val="00C71EE9"/>
    <w:rsid w:val="00C82C1F"/>
    <w:rsid w:val="00C83522"/>
    <w:rsid w:val="00CA2665"/>
    <w:rsid w:val="00CA26C4"/>
    <w:rsid w:val="00CB285F"/>
    <w:rsid w:val="00CB2EFE"/>
    <w:rsid w:val="00CB606C"/>
    <w:rsid w:val="00CC2067"/>
    <w:rsid w:val="00CC5D7F"/>
    <w:rsid w:val="00CD20F0"/>
    <w:rsid w:val="00CE0D08"/>
    <w:rsid w:val="00CE142F"/>
    <w:rsid w:val="00CF7218"/>
    <w:rsid w:val="00D06E51"/>
    <w:rsid w:val="00D07A13"/>
    <w:rsid w:val="00D07FAA"/>
    <w:rsid w:val="00D12F68"/>
    <w:rsid w:val="00D13BAF"/>
    <w:rsid w:val="00D1439B"/>
    <w:rsid w:val="00D14BEC"/>
    <w:rsid w:val="00D166A0"/>
    <w:rsid w:val="00D1694A"/>
    <w:rsid w:val="00D16AD6"/>
    <w:rsid w:val="00D16DE3"/>
    <w:rsid w:val="00D221B1"/>
    <w:rsid w:val="00D25060"/>
    <w:rsid w:val="00D2741F"/>
    <w:rsid w:val="00D27F63"/>
    <w:rsid w:val="00D36AB0"/>
    <w:rsid w:val="00D41329"/>
    <w:rsid w:val="00D42313"/>
    <w:rsid w:val="00D55AC7"/>
    <w:rsid w:val="00D6381D"/>
    <w:rsid w:val="00D66F75"/>
    <w:rsid w:val="00D71243"/>
    <w:rsid w:val="00D74BA4"/>
    <w:rsid w:val="00D76981"/>
    <w:rsid w:val="00D81063"/>
    <w:rsid w:val="00D84088"/>
    <w:rsid w:val="00D87D8D"/>
    <w:rsid w:val="00D91106"/>
    <w:rsid w:val="00D94F9D"/>
    <w:rsid w:val="00D96993"/>
    <w:rsid w:val="00DA07CA"/>
    <w:rsid w:val="00DA14A3"/>
    <w:rsid w:val="00DA30F6"/>
    <w:rsid w:val="00DA316D"/>
    <w:rsid w:val="00DB6F14"/>
    <w:rsid w:val="00DD05E6"/>
    <w:rsid w:val="00DD1BE7"/>
    <w:rsid w:val="00DE0E8C"/>
    <w:rsid w:val="00DE1694"/>
    <w:rsid w:val="00DE33B6"/>
    <w:rsid w:val="00DE384F"/>
    <w:rsid w:val="00DF740C"/>
    <w:rsid w:val="00DF7977"/>
    <w:rsid w:val="00E0378D"/>
    <w:rsid w:val="00E05A99"/>
    <w:rsid w:val="00E07587"/>
    <w:rsid w:val="00E11949"/>
    <w:rsid w:val="00E1575C"/>
    <w:rsid w:val="00E21121"/>
    <w:rsid w:val="00E3424A"/>
    <w:rsid w:val="00E42389"/>
    <w:rsid w:val="00E44089"/>
    <w:rsid w:val="00E44997"/>
    <w:rsid w:val="00E457DD"/>
    <w:rsid w:val="00E4589A"/>
    <w:rsid w:val="00E46E8C"/>
    <w:rsid w:val="00E530BA"/>
    <w:rsid w:val="00E61A4E"/>
    <w:rsid w:val="00E61AE2"/>
    <w:rsid w:val="00E61E59"/>
    <w:rsid w:val="00E650C4"/>
    <w:rsid w:val="00E662A4"/>
    <w:rsid w:val="00E66FF1"/>
    <w:rsid w:val="00E74404"/>
    <w:rsid w:val="00E80487"/>
    <w:rsid w:val="00E83EC2"/>
    <w:rsid w:val="00E9483F"/>
    <w:rsid w:val="00E950E5"/>
    <w:rsid w:val="00EA1B4E"/>
    <w:rsid w:val="00EA35CE"/>
    <w:rsid w:val="00EB22C0"/>
    <w:rsid w:val="00EB33F3"/>
    <w:rsid w:val="00F040DA"/>
    <w:rsid w:val="00F10E40"/>
    <w:rsid w:val="00F1224A"/>
    <w:rsid w:val="00F1639C"/>
    <w:rsid w:val="00F17B9E"/>
    <w:rsid w:val="00F24B89"/>
    <w:rsid w:val="00F333E0"/>
    <w:rsid w:val="00F40A07"/>
    <w:rsid w:val="00F40BB7"/>
    <w:rsid w:val="00F42198"/>
    <w:rsid w:val="00F429E3"/>
    <w:rsid w:val="00F4394E"/>
    <w:rsid w:val="00F44614"/>
    <w:rsid w:val="00F4608D"/>
    <w:rsid w:val="00F46B4D"/>
    <w:rsid w:val="00F47AFB"/>
    <w:rsid w:val="00F52839"/>
    <w:rsid w:val="00F618B7"/>
    <w:rsid w:val="00F775CD"/>
    <w:rsid w:val="00F81301"/>
    <w:rsid w:val="00F859D5"/>
    <w:rsid w:val="00F905A1"/>
    <w:rsid w:val="00F95859"/>
    <w:rsid w:val="00FC2E95"/>
    <w:rsid w:val="00FD0AEB"/>
    <w:rsid w:val="00FD3ACC"/>
    <w:rsid w:val="00FD4CA0"/>
    <w:rsid w:val="00FE40DE"/>
    <w:rsid w:val="00FF12EE"/>
    <w:rsid w:val="00FF6806"/>
    <w:rsid w:val="01050D6B"/>
    <w:rsid w:val="010E41FD"/>
    <w:rsid w:val="01684AEA"/>
    <w:rsid w:val="0188235F"/>
    <w:rsid w:val="01A5394B"/>
    <w:rsid w:val="01A94FA5"/>
    <w:rsid w:val="01B51570"/>
    <w:rsid w:val="01B668C8"/>
    <w:rsid w:val="01E4186E"/>
    <w:rsid w:val="020522FA"/>
    <w:rsid w:val="0226003A"/>
    <w:rsid w:val="02575F1E"/>
    <w:rsid w:val="0269133C"/>
    <w:rsid w:val="02B64333"/>
    <w:rsid w:val="02E854EF"/>
    <w:rsid w:val="0306438A"/>
    <w:rsid w:val="03082E9D"/>
    <w:rsid w:val="0323038E"/>
    <w:rsid w:val="03491F0D"/>
    <w:rsid w:val="034C7931"/>
    <w:rsid w:val="03612AAF"/>
    <w:rsid w:val="037C02C2"/>
    <w:rsid w:val="03B159F9"/>
    <w:rsid w:val="03BC6827"/>
    <w:rsid w:val="03BD1FBD"/>
    <w:rsid w:val="03CC3893"/>
    <w:rsid w:val="03D066A0"/>
    <w:rsid w:val="03D07D5B"/>
    <w:rsid w:val="03DC7BC7"/>
    <w:rsid w:val="03E01BBC"/>
    <w:rsid w:val="03F85A29"/>
    <w:rsid w:val="0413064D"/>
    <w:rsid w:val="04275B81"/>
    <w:rsid w:val="044E4102"/>
    <w:rsid w:val="046439FE"/>
    <w:rsid w:val="04701706"/>
    <w:rsid w:val="047C659F"/>
    <w:rsid w:val="04C77318"/>
    <w:rsid w:val="04EB5C39"/>
    <w:rsid w:val="0509369A"/>
    <w:rsid w:val="05150D06"/>
    <w:rsid w:val="05277434"/>
    <w:rsid w:val="054476D1"/>
    <w:rsid w:val="05496ECF"/>
    <w:rsid w:val="054F7327"/>
    <w:rsid w:val="0561200C"/>
    <w:rsid w:val="058015B8"/>
    <w:rsid w:val="05807CBC"/>
    <w:rsid w:val="058404AF"/>
    <w:rsid w:val="05ED62FB"/>
    <w:rsid w:val="05F15FF2"/>
    <w:rsid w:val="06465413"/>
    <w:rsid w:val="06524E83"/>
    <w:rsid w:val="06570E4A"/>
    <w:rsid w:val="068202FE"/>
    <w:rsid w:val="0682450F"/>
    <w:rsid w:val="0699264E"/>
    <w:rsid w:val="069A0C1C"/>
    <w:rsid w:val="06C64EB4"/>
    <w:rsid w:val="06CD61B0"/>
    <w:rsid w:val="06DC6FAB"/>
    <w:rsid w:val="06F939B3"/>
    <w:rsid w:val="06FC3C2E"/>
    <w:rsid w:val="071820D4"/>
    <w:rsid w:val="07190597"/>
    <w:rsid w:val="071A084F"/>
    <w:rsid w:val="072D5CA1"/>
    <w:rsid w:val="07332A56"/>
    <w:rsid w:val="07512169"/>
    <w:rsid w:val="07636976"/>
    <w:rsid w:val="07AE7170"/>
    <w:rsid w:val="07C24B0D"/>
    <w:rsid w:val="07E35ECA"/>
    <w:rsid w:val="07EF3DDA"/>
    <w:rsid w:val="082A49B4"/>
    <w:rsid w:val="08323877"/>
    <w:rsid w:val="0857001A"/>
    <w:rsid w:val="087E483F"/>
    <w:rsid w:val="08B40130"/>
    <w:rsid w:val="08BC15B3"/>
    <w:rsid w:val="08BC3170"/>
    <w:rsid w:val="08BE0A56"/>
    <w:rsid w:val="08C14800"/>
    <w:rsid w:val="08CE1CAC"/>
    <w:rsid w:val="08CF1ACE"/>
    <w:rsid w:val="08E86FF6"/>
    <w:rsid w:val="08FB3C4D"/>
    <w:rsid w:val="09056AC0"/>
    <w:rsid w:val="090A249A"/>
    <w:rsid w:val="0915668D"/>
    <w:rsid w:val="09440C87"/>
    <w:rsid w:val="0982179A"/>
    <w:rsid w:val="098A1CEC"/>
    <w:rsid w:val="099E3FBE"/>
    <w:rsid w:val="0A387B85"/>
    <w:rsid w:val="0A6D6425"/>
    <w:rsid w:val="0A75219E"/>
    <w:rsid w:val="0A7D6995"/>
    <w:rsid w:val="0A8D4F43"/>
    <w:rsid w:val="0A9751C0"/>
    <w:rsid w:val="0AC63141"/>
    <w:rsid w:val="0AEB0B02"/>
    <w:rsid w:val="0B380701"/>
    <w:rsid w:val="0B433AB7"/>
    <w:rsid w:val="0B4E4D03"/>
    <w:rsid w:val="0B5E63F8"/>
    <w:rsid w:val="0B8B6DB0"/>
    <w:rsid w:val="0BA945BF"/>
    <w:rsid w:val="0BB312D5"/>
    <w:rsid w:val="0BF61331"/>
    <w:rsid w:val="0BFB3EC4"/>
    <w:rsid w:val="0C060530"/>
    <w:rsid w:val="0C0D5D30"/>
    <w:rsid w:val="0C305A1C"/>
    <w:rsid w:val="0C3768E2"/>
    <w:rsid w:val="0CA72D16"/>
    <w:rsid w:val="0CC237F4"/>
    <w:rsid w:val="0CF0348B"/>
    <w:rsid w:val="0D061952"/>
    <w:rsid w:val="0D6D29DC"/>
    <w:rsid w:val="0D8E6CD1"/>
    <w:rsid w:val="0D9623D5"/>
    <w:rsid w:val="0D9C75A1"/>
    <w:rsid w:val="0D9F296C"/>
    <w:rsid w:val="0DA743F5"/>
    <w:rsid w:val="0DDD356F"/>
    <w:rsid w:val="0DF63C4C"/>
    <w:rsid w:val="0E0F09CA"/>
    <w:rsid w:val="0E117663"/>
    <w:rsid w:val="0E405260"/>
    <w:rsid w:val="0EA771DA"/>
    <w:rsid w:val="0EC57CAB"/>
    <w:rsid w:val="0EC9463F"/>
    <w:rsid w:val="0ECD6482"/>
    <w:rsid w:val="0ED77294"/>
    <w:rsid w:val="0ED9352B"/>
    <w:rsid w:val="0EE73934"/>
    <w:rsid w:val="0F1F2836"/>
    <w:rsid w:val="0F235BFD"/>
    <w:rsid w:val="0F487F90"/>
    <w:rsid w:val="0F526C4A"/>
    <w:rsid w:val="0F67474D"/>
    <w:rsid w:val="0F863CA3"/>
    <w:rsid w:val="0FDB6EEB"/>
    <w:rsid w:val="0FED7814"/>
    <w:rsid w:val="0FF3384D"/>
    <w:rsid w:val="100838CB"/>
    <w:rsid w:val="101D771A"/>
    <w:rsid w:val="104D6B72"/>
    <w:rsid w:val="10733CC4"/>
    <w:rsid w:val="107C1031"/>
    <w:rsid w:val="10B473F6"/>
    <w:rsid w:val="10C26DB4"/>
    <w:rsid w:val="10C4264E"/>
    <w:rsid w:val="10F05298"/>
    <w:rsid w:val="111401DE"/>
    <w:rsid w:val="111B5CE3"/>
    <w:rsid w:val="111B66D5"/>
    <w:rsid w:val="11207C80"/>
    <w:rsid w:val="11215446"/>
    <w:rsid w:val="112A1F85"/>
    <w:rsid w:val="112B425B"/>
    <w:rsid w:val="113C3B40"/>
    <w:rsid w:val="114850EC"/>
    <w:rsid w:val="114B4BB8"/>
    <w:rsid w:val="11751981"/>
    <w:rsid w:val="119F7A0B"/>
    <w:rsid w:val="11AD691C"/>
    <w:rsid w:val="11B610A9"/>
    <w:rsid w:val="11B864A6"/>
    <w:rsid w:val="11BC1A1A"/>
    <w:rsid w:val="11C633A6"/>
    <w:rsid w:val="11CE3EF2"/>
    <w:rsid w:val="11D45C72"/>
    <w:rsid w:val="11DF1A85"/>
    <w:rsid w:val="11E54E92"/>
    <w:rsid w:val="11E74C85"/>
    <w:rsid w:val="12066F18"/>
    <w:rsid w:val="12510666"/>
    <w:rsid w:val="125410CA"/>
    <w:rsid w:val="125E664A"/>
    <w:rsid w:val="1260103C"/>
    <w:rsid w:val="126C7276"/>
    <w:rsid w:val="127D6907"/>
    <w:rsid w:val="128662DB"/>
    <w:rsid w:val="128F4420"/>
    <w:rsid w:val="129C0593"/>
    <w:rsid w:val="12AB00DD"/>
    <w:rsid w:val="12D52966"/>
    <w:rsid w:val="12E609F9"/>
    <w:rsid w:val="13013431"/>
    <w:rsid w:val="13061174"/>
    <w:rsid w:val="131504A0"/>
    <w:rsid w:val="13232660"/>
    <w:rsid w:val="135B7341"/>
    <w:rsid w:val="13737A30"/>
    <w:rsid w:val="137C474C"/>
    <w:rsid w:val="13810487"/>
    <w:rsid w:val="138B2073"/>
    <w:rsid w:val="13914D50"/>
    <w:rsid w:val="13AB1EDC"/>
    <w:rsid w:val="13B12089"/>
    <w:rsid w:val="13D331F7"/>
    <w:rsid w:val="13DE63B5"/>
    <w:rsid w:val="14103C86"/>
    <w:rsid w:val="14181BA3"/>
    <w:rsid w:val="142E5887"/>
    <w:rsid w:val="1447735C"/>
    <w:rsid w:val="14542E82"/>
    <w:rsid w:val="1472715F"/>
    <w:rsid w:val="14753B51"/>
    <w:rsid w:val="1482428B"/>
    <w:rsid w:val="14915309"/>
    <w:rsid w:val="14BB3758"/>
    <w:rsid w:val="14BF6E8B"/>
    <w:rsid w:val="14EF5BDB"/>
    <w:rsid w:val="151265F5"/>
    <w:rsid w:val="151A0CA7"/>
    <w:rsid w:val="151D5186"/>
    <w:rsid w:val="154B29AC"/>
    <w:rsid w:val="155249BE"/>
    <w:rsid w:val="156053E7"/>
    <w:rsid w:val="156A31FF"/>
    <w:rsid w:val="15897BA8"/>
    <w:rsid w:val="159F3E2A"/>
    <w:rsid w:val="15C62632"/>
    <w:rsid w:val="15F94D1A"/>
    <w:rsid w:val="16041CBB"/>
    <w:rsid w:val="161C0142"/>
    <w:rsid w:val="16283DC3"/>
    <w:rsid w:val="163A5827"/>
    <w:rsid w:val="164A2447"/>
    <w:rsid w:val="164D0E1C"/>
    <w:rsid w:val="166D0EB7"/>
    <w:rsid w:val="16BE71E4"/>
    <w:rsid w:val="16E009B5"/>
    <w:rsid w:val="16F14F1A"/>
    <w:rsid w:val="17032BE9"/>
    <w:rsid w:val="17106B0D"/>
    <w:rsid w:val="171A6D76"/>
    <w:rsid w:val="171C4064"/>
    <w:rsid w:val="17264F11"/>
    <w:rsid w:val="173A3DF2"/>
    <w:rsid w:val="1756595C"/>
    <w:rsid w:val="1774273A"/>
    <w:rsid w:val="177727EF"/>
    <w:rsid w:val="17831317"/>
    <w:rsid w:val="17987937"/>
    <w:rsid w:val="17A774CA"/>
    <w:rsid w:val="17BE36F5"/>
    <w:rsid w:val="17CA21DE"/>
    <w:rsid w:val="17CD6EEE"/>
    <w:rsid w:val="17D01D9A"/>
    <w:rsid w:val="17D60E97"/>
    <w:rsid w:val="17EE6FE0"/>
    <w:rsid w:val="17FE0826"/>
    <w:rsid w:val="180F6F21"/>
    <w:rsid w:val="184E31A4"/>
    <w:rsid w:val="18520DF6"/>
    <w:rsid w:val="1898290B"/>
    <w:rsid w:val="18A93A1B"/>
    <w:rsid w:val="18D033A8"/>
    <w:rsid w:val="18D50B06"/>
    <w:rsid w:val="18EC00F6"/>
    <w:rsid w:val="18EE798D"/>
    <w:rsid w:val="190D52B8"/>
    <w:rsid w:val="191124A3"/>
    <w:rsid w:val="192124B5"/>
    <w:rsid w:val="19265816"/>
    <w:rsid w:val="192F7205"/>
    <w:rsid w:val="196D5300"/>
    <w:rsid w:val="19A12030"/>
    <w:rsid w:val="19A8355D"/>
    <w:rsid w:val="19A87DFE"/>
    <w:rsid w:val="19AF17F7"/>
    <w:rsid w:val="19C735CC"/>
    <w:rsid w:val="19CA582C"/>
    <w:rsid w:val="19D12C05"/>
    <w:rsid w:val="19EF62DE"/>
    <w:rsid w:val="19FF1301"/>
    <w:rsid w:val="1A0541DC"/>
    <w:rsid w:val="1A215E0C"/>
    <w:rsid w:val="1A536E21"/>
    <w:rsid w:val="1A7549B3"/>
    <w:rsid w:val="1A7725A5"/>
    <w:rsid w:val="1A846EC5"/>
    <w:rsid w:val="1A923133"/>
    <w:rsid w:val="1AA9183C"/>
    <w:rsid w:val="1AB14A46"/>
    <w:rsid w:val="1ADC3C12"/>
    <w:rsid w:val="1AFA7ED3"/>
    <w:rsid w:val="1B0023FC"/>
    <w:rsid w:val="1B047A89"/>
    <w:rsid w:val="1B0E405B"/>
    <w:rsid w:val="1B2806B0"/>
    <w:rsid w:val="1B2F6473"/>
    <w:rsid w:val="1B446F4E"/>
    <w:rsid w:val="1B4E48DE"/>
    <w:rsid w:val="1B663540"/>
    <w:rsid w:val="1B6A71A9"/>
    <w:rsid w:val="1B8859B5"/>
    <w:rsid w:val="1B8A5C18"/>
    <w:rsid w:val="1B8D0F5D"/>
    <w:rsid w:val="1B9C4A31"/>
    <w:rsid w:val="1BA12745"/>
    <w:rsid w:val="1BBE4C0F"/>
    <w:rsid w:val="1BC66080"/>
    <w:rsid w:val="1C0E05AB"/>
    <w:rsid w:val="1C215F81"/>
    <w:rsid w:val="1C330509"/>
    <w:rsid w:val="1C370375"/>
    <w:rsid w:val="1C4776DA"/>
    <w:rsid w:val="1C4D79B2"/>
    <w:rsid w:val="1C531055"/>
    <w:rsid w:val="1C77585C"/>
    <w:rsid w:val="1CFB7365"/>
    <w:rsid w:val="1D0D5CE2"/>
    <w:rsid w:val="1D120B97"/>
    <w:rsid w:val="1D182160"/>
    <w:rsid w:val="1D2D5836"/>
    <w:rsid w:val="1D2F600C"/>
    <w:rsid w:val="1D3C4AD2"/>
    <w:rsid w:val="1D3C60A6"/>
    <w:rsid w:val="1D5F58B9"/>
    <w:rsid w:val="1D786C4F"/>
    <w:rsid w:val="1D95295F"/>
    <w:rsid w:val="1DA12ECB"/>
    <w:rsid w:val="1DB340DF"/>
    <w:rsid w:val="1DB6271A"/>
    <w:rsid w:val="1DBE7E85"/>
    <w:rsid w:val="1DC6604C"/>
    <w:rsid w:val="1DD70363"/>
    <w:rsid w:val="1DDF01B6"/>
    <w:rsid w:val="1E301FAC"/>
    <w:rsid w:val="1E4B3AF0"/>
    <w:rsid w:val="1E580D71"/>
    <w:rsid w:val="1E5849D0"/>
    <w:rsid w:val="1E5D7534"/>
    <w:rsid w:val="1E5E41E6"/>
    <w:rsid w:val="1E6C70F1"/>
    <w:rsid w:val="1E7A0D0A"/>
    <w:rsid w:val="1E7A37DC"/>
    <w:rsid w:val="1E860038"/>
    <w:rsid w:val="1E902AE8"/>
    <w:rsid w:val="1EAF1959"/>
    <w:rsid w:val="1EC15810"/>
    <w:rsid w:val="1EF47153"/>
    <w:rsid w:val="1F1570D8"/>
    <w:rsid w:val="1F202BF1"/>
    <w:rsid w:val="1F241C6E"/>
    <w:rsid w:val="1F330153"/>
    <w:rsid w:val="1F362245"/>
    <w:rsid w:val="1F387A73"/>
    <w:rsid w:val="1F4422F6"/>
    <w:rsid w:val="1F4B579D"/>
    <w:rsid w:val="1F6013BB"/>
    <w:rsid w:val="1F6A77C0"/>
    <w:rsid w:val="1F6C5B29"/>
    <w:rsid w:val="1FA0494A"/>
    <w:rsid w:val="1FA12A21"/>
    <w:rsid w:val="1FA23E8B"/>
    <w:rsid w:val="1FA878E8"/>
    <w:rsid w:val="1FBC5942"/>
    <w:rsid w:val="1FD911E1"/>
    <w:rsid w:val="200159BA"/>
    <w:rsid w:val="200B6C21"/>
    <w:rsid w:val="201C10C4"/>
    <w:rsid w:val="201F3B9E"/>
    <w:rsid w:val="20211CEC"/>
    <w:rsid w:val="2034498D"/>
    <w:rsid w:val="20560626"/>
    <w:rsid w:val="20796F25"/>
    <w:rsid w:val="209D0229"/>
    <w:rsid w:val="20EE2CA1"/>
    <w:rsid w:val="2127768C"/>
    <w:rsid w:val="21283201"/>
    <w:rsid w:val="21312BE8"/>
    <w:rsid w:val="21634140"/>
    <w:rsid w:val="218703D9"/>
    <w:rsid w:val="218D1428"/>
    <w:rsid w:val="21C910FC"/>
    <w:rsid w:val="21DA2592"/>
    <w:rsid w:val="21ED6A5B"/>
    <w:rsid w:val="21F55CF3"/>
    <w:rsid w:val="22094B01"/>
    <w:rsid w:val="222642AF"/>
    <w:rsid w:val="22491372"/>
    <w:rsid w:val="225D3D50"/>
    <w:rsid w:val="2265456D"/>
    <w:rsid w:val="22712107"/>
    <w:rsid w:val="227A3EE1"/>
    <w:rsid w:val="2282195F"/>
    <w:rsid w:val="22891CE8"/>
    <w:rsid w:val="22CE20A5"/>
    <w:rsid w:val="22EA13F6"/>
    <w:rsid w:val="23363393"/>
    <w:rsid w:val="2355657F"/>
    <w:rsid w:val="236A399F"/>
    <w:rsid w:val="237575E9"/>
    <w:rsid w:val="23764DCA"/>
    <w:rsid w:val="239E7C19"/>
    <w:rsid w:val="23A542D4"/>
    <w:rsid w:val="23C4633B"/>
    <w:rsid w:val="23D11BE1"/>
    <w:rsid w:val="23D147DD"/>
    <w:rsid w:val="23EF5182"/>
    <w:rsid w:val="24026195"/>
    <w:rsid w:val="240370EC"/>
    <w:rsid w:val="2405285B"/>
    <w:rsid w:val="240A35C2"/>
    <w:rsid w:val="243D7C2B"/>
    <w:rsid w:val="246B67CF"/>
    <w:rsid w:val="249A3B28"/>
    <w:rsid w:val="249D5D74"/>
    <w:rsid w:val="24A56718"/>
    <w:rsid w:val="24AD3E91"/>
    <w:rsid w:val="24C97EC6"/>
    <w:rsid w:val="24D27CFD"/>
    <w:rsid w:val="24D81ABB"/>
    <w:rsid w:val="25091089"/>
    <w:rsid w:val="250E063A"/>
    <w:rsid w:val="251D76A7"/>
    <w:rsid w:val="2529694D"/>
    <w:rsid w:val="253C3E17"/>
    <w:rsid w:val="25501A23"/>
    <w:rsid w:val="2550764E"/>
    <w:rsid w:val="255142C4"/>
    <w:rsid w:val="256E2DF9"/>
    <w:rsid w:val="257B7EF3"/>
    <w:rsid w:val="258772A0"/>
    <w:rsid w:val="25937B51"/>
    <w:rsid w:val="25987D3F"/>
    <w:rsid w:val="25990448"/>
    <w:rsid w:val="25A55547"/>
    <w:rsid w:val="25B50126"/>
    <w:rsid w:val="25CF626C"/>
    <w:rsid w:val="260A1531"/>
    <w:rsid w:val="260F00DB"/>
    <w:rsid w:val="26121496"/>
    <w:rsid w:val="26214012"/>
    <w:rsid w:val="26222110"/>
    <w:rsid w:val="263528F3"/>
    <w:rsid w:val="26525A79"/>
    <w:rsid w:val="265679D5"/>
    <w:rsid w:val="26650476"/>
    <w:rsid w:val="268D6EA1"/>
    <w:rsid w:val="26A309FA"/>
    <w:rsid w:val="26B54564"/>
    <w:rsid w:val="26DE50AC"/>
    <w:rsid w:val="26E33ED7"/>
    <w:rsid w:val="26E50C0E"/>
    <w:rsid w:val="27061242"/>
    <w:rsid w:val="270C5781"/>
    <w:rsid w:val="2733255D"/>
    <w:rsid w:val="273E42A9"/>
    <w:rsid w:val="2764592B"/>
    <w:rsid w:val="276D471D"/>
    <w:rsid w:val="277920EB"/>
    <w:rsid w:val="277C7521"/>
    <w:rsid w:val="27A95161"/>
    <w:rsid w:val="27CF384D"/>
    <w:rsid w:val="27D712F0"/>
    <w:rsid w:val="27FB72D7"/>
    <w:rsid w:val="28085938"/>
    <w:rsid w:val="28296CF6"/>
    <w:rsid w:val="284D4B24"/>
    <w:rsid w:val="286D4268"/>
    <w:rsid w:val="28A820AA"/>
    <w:rsid w:val="28B81347"/>
    <w:rsid w:val="28D7419E"/>
    <w:rsid w:val="28D771E0"/>
    <w:rsid w:val="28FE6EE1"/>
    <w:rsid w:val="29144690"/>
    <w:rsid w:val="2919247A"/>
    <w:rsid w:val="2940780B"/>
    <w:rsid w:val="296022E2"/>
    <w:rsid w:val="29637AEE"/>
    <w:rsid w:val="2965042D"/>
    <w:rsid w:val="299960DF"/>
    <w:rsid w:val="29AE3300"/>
    <w:rsid w:val="29C7549C"/>
    <w:rsid w:val="29D645BE"/>
    <w:rsid w:val="29DE1043"/>
    <w:rsid w:val="29EE1B43"/>
    <w:rsid w:val="29F91F05"/>
    <w:rsid w:val="2A023187"/>
    <w:rsid w:val="2A15082C"/>
    <w:rsid w:val="2A1554D2"/>
    <w:rsid w:val="2A3A4E84"/>
    <w:rsid w:val="2AB20916"/>
    <w:rsid w:val="2AC508F0"/>
    <w:rsid w:val="2AF01AEC"/>
    <w:rsid w:val="2AFA09A0"/>
    <w:rsid w:val="2B5E700D"/>
    <w:rsid w:val="2B7E5F21"/>
    <w:rsid w:val="2B83642C"/>
    <w:rsid w:val="2B8D04CC"/>
    <w:rsid w:val="2BC21F9B"/>
    <w:rsid w:val="2BCE36F2"/>
    <w:rsid w:val="2C312A68"/>
    <w:rsid w:val="2C3A4480"/>
    <w:rsid w:val="2C687426"/>
    <w:rsid w:val="2C95580D"/>
    <w:rsid w:val="2CA7544E"/>
    <w:rsid w:val="2CBD0601"/>
    <w:rsid w:val="2CC17608"/>
    <w:rsid w:val="2CD07DDB"/>
    <w:rsid w:val="2CD460AF"/>
    <w:rsid w:val="2CE56801"/>
    <w:rsid w:val="2CEF70AB"/>
    <w:rsid w:val="2D0563EF"/>
    <w:rsid w:val="2D0D68D8"/>
    <w:rsid w:val="2D203162"/>
    <w:rsid w:val="2D207380"/>
    <w:rsid w:val="2D532D05"/>
    <w:rsid w:val="2D965EAE"/>
    <w:rsid w:val="2D9F60E3"/>
    <w:rsid w:val="2DD23643"/>
    <w:rsid w:val="2DE91C35"/>
    <w:rsid w:val="2DEB6D0B"/>
    <w:rsid w:val="2DED42CB"/>
    <w:rsid w:val="2DF32B92"/>
    <w:rsid w:val="2E02058A"/>
    <w:rsid w:val="2E0B5355"/>
    <w:rsid w:val="2E0C0C41"/>
    <w:rsid w:val="2E3B25F7"/>
    <w:rsid w:val="2E405DFE"/>
    <w:rsid w:val="2E68543A"/>
    <w:rsid w:val="2E705BB7"/>
    <w:rsid w:val="2E7D762A"/>
    <w:rsid w:val="2E8B4DAA"/>
    <w:rsid w:val="2EA327EF"/>
    <w:rsid w:val="2EAF5155"/>
    <w:rsid w:val="2EB71021"/>
    <w:rsid w:val="2EC91E64"/>
    <w:rsid w:val="2ED44A71"/>
    <w:rsid w:val="2EEB1204"/>
    <w:rsid w:val="2EED460B"/>
    <w:rsid w:val="2EEE4A4E"/>
    <w:rsid w:val="2EF02F73"/>
    <w:rsid w:val="2EFF4D6B"/>
    <w:rsid w:val="2F321167"/>
    <w:rsid w:val="2F573162"/>
    <w:rsid w:val="2F6715FF"/>
    <w:rsid w:val="2F8A3739"/>
    <w:rsid w:val="2F920445"/>
    <w:rsid w:val="2FAC5D12"/>
    <w:rsid w:val="2FAD533E"/>
    <w:rsid w:val="2FBA6E83"/>
    <w:rsid w:val="2FC725DC"/>
    <w:rsid w:val="300544BB"/>
    <w:rsid w:val="300868A4"/>
    <w:rsid w:val="302E12D5"/>
    <w:rsid w:val="303517C6"/>
    <w:rsid w:val="304C31E7"/>
    <w:rsid w:val="30587575"/>
    <w:rsid w:val="306A7D27"/>
    <w:rsid w:val="306B6CD9"/>
    <w:rsid w:val="309C0485"/>
    <w:rsid w:val="30CB3656"/>
    <w:rsid w:val="30E45DB6"/>
    <w:rsid w:val="30EC7EB3"/>
    <w:rsid w:val="30F32861"/>
    <w:rsid w:val="30FD3CA9"/>
    <w:rsid w:val="31015E4F"/>
    <w:rsid w:val="310356D9"/>
    <w:rsid w:val="311F2F9F"/>
    <w:rsid w:val="31261927"/>
    <w:rsid w:val="313B2A64"/>
    <w:rsid w:val="314D6FC7"/>
    <w:rsid w:val="318254F8"/>
    <w:rsid w:val="3193435C"/>
    <w:rsid w:val="31942ADB"/>
    <w:rsid w:val="31A56A7D"/>
    <w:rsid w:val="31A61753"/>
    <w:rsid w:val="31C3578B"/>
    <w:rsid w:val="31D21551"/>
    <w:rsid w:val="31F004F1"/>
    <w:rsid w:val="31FA09D3"/>
    <w:rsid w:val="31FD5B17"/>
    <w:rsid w:val="3235558F"/>
    <w:rsid w:val="325A16F5"/>
    <w:rsid w:val="3267390F"/>
    <w:rsid w:val="32795690"/>
    <w:rsid w:val="32A13BD1"/>
    <w:rsid w:val="32C92EAB"/>
    <w:rsid w:val="32D864D3"/>
    <w:rsid w:val="32E64048"/>
    <w:rsid w:val="32EF0EEB"/>
    <w:rsid w:val="32F34888"/>
    <w:rsid w:val="331F2E1B"/>
    <w:rsid w:val="334B6B3C"/>
    <w:rsid w:val="3359654C"/>
    <w:rsid w:val="337B653E"/>
    <w:rsid w:val="337F7C50"/>
    <w:rsid w:val="33924701"/>
    <w:rsid w:val="3395240B"/>
    <w:rsid w:val="339778ED"/>
    <w:rsid w:val="33A94912"/>
    <w:rsid w:val="33AF7CC7"/>
    <w:rsid w:val="33B13427"/>
    <w:rsid w:val="33EE370A"/>
    <w:rsid w:val="33F71768"/>
    <w:rsid w:val="34170A78"/>
    <w:rsid w:val="3422686D"/>
    <w:rsid w:val="34354FEA"/>
    <w:rsid w:val="34411BDD"/>
    <w:rsid w:val="345B05B9"/>
    <w:rsid w:val="346C55EA"/>
    <w:rsid w:val="34713006"/>
    <w:rsid w:val="3497216B"/>
    <w:rsid w:val="34A03516"/>
    <w:rsid w:val="34B36692"/>
    <w:rsid w:val="34BE3D29"/>
    <w:rsid w:val="34DD3B5A"/>
    <w:rsid w:val="35020C5B"/>
    <w:rsid w:val="353A42A2"/>
    <w:rsid w:val="357072D2"/>
    <w:rsid w:val="357D1777"/>
    <w:rsid w:val="35926561"/>
    <w:rsid w:val="359B35D1"/>
    <w:rsid w:val="35A577FE"/>
    <w:rsid w:val="35BD5610"/>
    <w:rsid w:val="35CC20B3"/>
    <w:rsid w:val="35CD4635"/>
    <w:rsid w:val="35E25BC8"/>
    <w:rsid w:val="36103EAF"/>
    <w:rsid w:val="36123228"/>
    <w:rsid w:val="364D67E1"/>
    <w:rsid w:val="36606D89"/>
    <w:rsid w:val="366C242A"/>
    <w:rsid w:val="366E706C"/>
    <w:rsid w:val="36752F65"/>
    <w:rsid w:val="36787C54"/>
    <w:rsid w:val="36AD253A"/>
    <w:rsid w:val="36B20861"/>
    <w:rsid w:val="36C31400"/>
    <w:rsid w:val="36DE4BDB"/>
    <w:rsid w:val="370312C6"/>
    <w:rsid w:val="37076243"/>
    <w:rsid w:val="370901BA"/>
    <w:rsid w:val="371D0C54"/>
    <w:rsid w:val="374E408B"/>
    <w:rsid w:val="376230B4"/>
    <w:rsid w:val="376F46DB"/>
    <w:rsid w:val="37A66678"/>
    <w:rsid w:val="37B2250B"/>
    <w:rsid w:val="37CD3621"/>
    <w:rsid w:val="37CD4385"/>
    <w:rsid w:val="37D91383"/>
    <w:rsid w:val="37E04731"/>
    <w:rsid w:val="37E4346A"/>
    <w:rsid w:val="37EB4881"/>
    <w:rsid w:val="38085CDD"/>
    <w:rsid w:val="382E665E"/>
    <w:rsid w:val="38300C51"/>
    <w:rsid w:val="384C307D"/>
    <w:rsid w:val="38707316"/>
    <w:rsid w:val="389777FF"/>
    <w:rsid w:val="38A24E13"/>
    <w:rsid w:val="38A46A92"/>
    <w:rsid w:val="38B6526C"/>
    <w:rsid w:val="38CC6C3F"/>
    <w:rsid w:val="38D63886"/>
    <w:rsid w:val="38D65148"/>
    <w:rsid w:val="38E02546"/>
    <w:rsid w:val="38E3623B"/>
    <w:rsid w:val="38E56E6E"/>
    <w:rsid w:val="39162C3F"/>
    <w:rsid w:val="392D1FBB"/>
    <w:rsid w:val="39527FBE"/>
    <w:rsid w:val="395438EE"/>
    <w:rsid w:val="39554706"/>
    <w:rsid w:val="395B2F76"/>
    <w:rsid w:val="395D1C24"/>
    <w:rsid w:val="39635D27"/>
    <w:rsid w:val="39777166"/>
    <w:rsid w:val="399C762E"/>
    <w:rsid w:val="399D3783"/>
    <w:rsid w:val="39BB2F94"/>
    <w:rsid w:val="39C12864"/>
    <w:rsid w:val="39C82FEC"/>
    <w:rsid w:val="39CA3C87"/>
    <w:rsid w:val="39E37129"/>
    <w:rsid w:val="39E7506E"/>
    <w:rsid w:val="39EB5922"/>
    <w:rsid w:val="3A3338EA"/>
    <w:rsid w:val="3A441F08"/>
    <w:rsid w:val="3A475EF0"/>
    <w:rsid w:val="3A721385"/>
    <w:rsid w:val="3A742BA2"/>
    <w:rsid w:val="3A854473"/>
    <w:rsid w:val="3AA8008B"/>
    <w:rsid w:val="3AAD4788"/>
    <w:rsid w:val="3AAF6931"/>
    <w:rsid w:val="3AC01DD5"/>
    <w:rsid w:val="3AC60168"/>
    <w:rsid w:val="3ACB5FE5"/>
    <w:rsid w:val="3AF93311"/>
    <w:rsid w:val="3B0B514A"/>
    <w:rsid w:val="3B0D7A41"/>
    <w:rsid w:val="3B1F746D"/>
    <w:rsid w:val="3B75668C"/>
    <w:rsid w:val="3B8C2D38"/>
    <w:rsid w:val="3B8D44E4"/>
    <w:rsid w:val="3B946A1F"/>
    <w:rsid w:val="3BA043BD"/>
    <w:rsid w:val="3BAF0A2F"/>
    <w:rsid w:val="3BC3198B"/>
    <w:rsid w:val="3BD0651B"/>
    <w:rsid w:val="3BED0AA0"/>
    <w:rsid w:val="3BEF3BBD"/>
    <w:rsid w:val="3C7B36CE"/>
    <w:rsid w:val="3C9A14E6"/>
    <w:rsid w:val="3CBC73BC"/>
    <w:rsid w:val="3CCB1371"/>
    <w:rsid w:val="3CDB5D0B"/>
    <w:rsid w:val="3CEE0B01"/>
    <w:rsid w:val="3CF13590"/>
    <w:rsid w:val="3D1E4883"/>
    <w:rsid w:val="3D2562A1"/>
    <w:rsid w:val="3D3440F0"/>
    <w:rsid w:val="3D4E09D6"/>
    <w:rsid w:val="3D5628C1"/>
    <w:rsid w:val="3D695BF2"/>
    <w:rsid w:val="3D8D0537"/>
    <w:rsid w:val="3DA91E06"/>
    <w:rsid w:val="3DB335B4"/>
    <w:rsid w:val="3DE02812"/>
    <w:rsid w:val="3DFC7C22"/>
    <w:rsid w:val="3DFD250C"/>
    <w:rsid w:val="3E1F0F4E"/>
    <w:rsid w:val="3E355F65"/>
    <w:rsid w:val="3E3E76E0"/>
    <w:rsid w:val="3E5C036F"/>
    <w:rsid w:val="3E5C288F"/>
    <w:rsid w:val="3E771552"/>
    <w:rsid w:val="3E7C68C3"/>
    <w:rsid w:val="3EA0744E"/>
    <w:rsid w:val="3EAC41DE"/>
    <w:rsid w:val="3ED97379"/>
    <w:rsid w:val="3EDC72CE"/>
    <w:rsid w:val="3F2065E3"/>
    <w:rsid w:val="3F2447A2"/>
    <w:rsid w:val="3F252660"/>
    <w:rsid w:val="3F696169"/>
    <w:rsid w:val="3F717568"/>
    <w:rsid w:val="3F741EB8"/>
    <w:rsid w:val="3F837F73"/>
    <w:rsid w:val="3F8F120E"/>
    <w:rsid w:val="3FAB28BF"/>
    <w:rsid w:val="3FCE25B2"/>
    <w:rsid w:val="3FE125DD"/>
    <w:rsid w:val="3FED48C0"/>
    <w:rsid w:val="3FF872A4"/>
    <w:rsid w:val="403D5095"/>
    <w:rsid w:val="40511854"/>
    <w:rsid w:val="406233C3"/>
    <w:rsid w:val="408E5CC4"/>
    <w:rsid w:val="40AD4B1B"/>
    <w:rsid w:val="40B14D04"/>
    <w:rsid w:val="40C9200D"/>
    <w:rsid w:val="40D90517"/>
    <w:rsid w:val="40F678A5"/>
    <w:rsid w:val="40FA57EF"/>
    <w:rsid w:val="40FC5A22"/>
    <w:rsid w:val="4107473E"/>
    <w:rsid w:val="413A465B"/>
    <w:rsid w:val="41450C65"/>
    <w:rsid w:val="4168285E"/>
    <w:rsid w:val="417841E1"/>
    <w:rsid w:val="417D016E"/>
    <w:rsid w:val="41B157AD"/>
    <w:rsid w:val="41B56696"/>
    <w:rsid w:val="41D33592"/>
    <w:rsid w:val="41DC640D"/>
    <w:rsid w:val="41F3729D"/>
    <w:rsid w:val="41FA2B4F"/>
    <w:rsid w:val="420E30FF"/>
    <w:rsid w:val="42433941"/>
    <w:rsid w:val="424D41F4"/>
    <w:rsid w:val="424F5FA6"/>
    <w:rsid w:val="425E709A"/>
    <w:rsid w:val="428715B6"/>
    <w:rsid w:val="428F3F15"/>
    <w:rsid w:val="4294038C"/>
    <w:rsid w:val="42AC581F"/>
    <w:rsid w:val="42C26849"/>
    <w:rsid w:val="42CE3631"/>
    <w:rsid w:val="42DD56B9"/>
    <w:rsid w:val="42E25AB6"/>
    <w:rsid w:val="42F21F48"/>
    <w:rsid w:val="42F37E13"/>
    <w:rsid w:val="43566A3F"/>
    <w:rsid w:val="436625D4"/>
    <w:rsid w:val="4378117F"/>
    <w:rsid w:val="437C583B"/>
    <w:rsid w:val="438D51B4"/>
    <w:rsid w:val="438E66F6"/>
    <w:rsid w:val="43AB6DE3"/>
    <w:rsid w:val="43EB07E4"/>
    <w:rsid w:val="4404257D"/>
    <w:rsid w:val="440C2864"/>
    <w:rsid w:val="44255062"/>
    <w:rsid w:val="443337B0"/>
    <w:rsid w:val="44455B24"/>
    <w:rsid w:val="444F7296"/>
    <w:rsid w:val="445755A0"/>
    <w:rsid w:val="445E31E5"/>
    <w:rsid w:val="446813B4"/>
    <w:rsid w:val="446C2C32"/>
    <w:rsid w:val="447108C5"/>
    <w:rsid w:val="447E1F70"/>
    <w:rsid w:val="449364C3"/>
    <w:rsid w:val="44AB7992"/>
    <w:rsid w:val="44C90539"/>
    <w:rsid w:val="44CC794E"/>
    <w:rsid w:val="44FE4D7A"/>
    <w:rsid w:val="450B3F12"/>
    <w:rsid w:val="450D2D0B"/>
    <w:rsid w:val="451410FF"/>
    <w:rsid w:val="452214D1"/>
    <w:rsid w:val="45283A6A"/>
    <w:rsid w:val="45333C97"/>
    <w:rsid w:val="453F3B5A"/>
    <w:rsid w:val="458436CA"/>
    <w:rsid w:val="45AD3359"/>
    <w:rsid w:val="45C02863"/>
    <w:rsid w:val="460C14E1"/>
    <w:rsid w:val="462128EA"/>
    <w:rsid w:val="462365C0"/>
    <w:rsid w:val="46407FE8"/>
    <w:rsid w:val="46B54B02"/>
    <w:rsid w:val="4710180D"/>
    <w:rsid w:val="4712566C"/>
    <w:rsid w:val="472318C1"/>
    <w:rsid w:val="47412E37"/>
    <w:rsid w:val="47474711"/>
    <w:rsid w:val="4759092A"/>
    <w:rsid w:val="479A53BE"/>
    <w:rsid w:val="47D96A64"/>
    <w:rsid w:val="47E048A5"/>
    <w:rsid w:val="47E32687"/>
    <w:rsid w:val="47EC759A"/>
    <w:rsid w:val="47F548B1"/>
    <w:rsid w:val="47FC4228"/>
    <w:rsid w:val="48097EA2"/>
    <w:rsid w:val="481C7A0F"/>
    <w:rsid w:val="481D23D1"/>
    <w:rsid w:val="482D2A15"/>
    <w:rsid w:val="483839ED"/>
    <w:rsid w:val="484956FC"/>
    <w:rsid w:val="48541771"/>
    <w:rsid w:val="485608F7"/>
    <w:rsid w:val="486F370A"/>
    <w:rsid w:val="487A60E7"/>
    <w:rsid w:val="48B03F91"/>
    <w:rsid w:val="48C005D8"/>
    <w:rsid w:val="48C76E58"/>
    <w:rsid w:val="48CD1F10"/>
    <w:rsid w:val="490E1194"/>
    <w:rsid w:val="49147062"/>
    <w:rsid w:val="49281014"/>
    <w:rsid w:val="492F1B7F"/>
    <w:rsid w:val="49480C49"/>
    <w:rsid w:val="4949726B"/>
    <w:rsid w:val="494D235E"/>
    <w:rsid w:val="497E0815"/>
    <w:rsid w:val="49BF776A"/>
    <w:rsid w:val="4A3B4F1A"/>
    <w:rsid w:val="4A3F227E"/>
    <w:rsid w:val="4A5771D7"/>
    <w:rsid w:val="4A597330"/>
    <w:rsid w:val="4A6F4B8D"/>
    <w:rsid w:val="4ABB2B97"/>
    <w:rsid w:val="4ACA1026"/>
    <w:rsid w:val="4AD84DE9"/>
    <w:rsid w:val="4AE106E8"/>
    <w:rsid w:val="4B212817"/>
    <w:rsid w:val="4B4B48E3"/>
    <w:rsid w:val="4B5D0CB4"/>
    <w:rsid w:val="4B70352C"/>
    <w:rsid w:val="4B971AF3"/>
    <w:rsid w:val="4BB76B9A"/>
    <w:rsid w:val="4BCA2E02"/>
    <w:rsid w:val="4BCC1E81"/>
    <w:rsid w:val="4BED5739"/>
    <w:rsid w:val="4C08284C"/>
    <w:rsid w:val="4C1503CC"/>
    <w:rsid w:val="4C35438E"/>
    <w:rsid w:val="4C557C52"/>
    <w:rsid w:val="4C60539E"/>
    <w:rsid w:val="4C606C81"/>
    <w:rsid w:val="4C80258A"/>
    <w:rsid w:val="4C963BA6"/>
    <w:rsid w:val="4C97346E"/>
    <w:rsid w:val="4C9D78AD"/>
    <w:rsid w:val="4CC1395F"/>
    <w:rsid w:val="4CC264DC"/>
    <w:rsid w:val="4CE93942"/>
    <w:rsid w:val="4D025C01"/>
    <w:rsid w:val="4D5118D0"/>
    <w:rsid w:val="4D646EF4"/>
    <w:rsid w:val="4D833681"/>
    <w:rsid w:val="4D8553B5"/>
    <w:rsid w:val="4D8F00DF"/>
    <w:rsid w:val="4DAA7ADF"/>
    <w:rsid w:val="4DB20A08"/>
    <w:rsid w:val="4DBB379C"/>
    <w:rsid w:val="4DE4226A"/>
    <w:rsid w:val="4DF20747"/>
    <w:rsid w:val="4E1D316F"/>
    <w:rsid w:val="4E2168CF"/>
    <w:rsid w:val="4E4A461D"/>
    <w:rsid w:val="4E885EF2"/>
    <w:rsid w:val="4EAC2B84"/>
    <w:rsid w:val="4EBC08F1"/>
    <w:rsid w:val="4ED02CCF"/>
    <w:rsid w:val="4ED40EE4"/>
    <w:rsid w:val="4EEA7C1F"/>
    <w:rsid w:val="4F2425A6"/>
    <w:rsid w:val="4F6A671A"/>
    <w:rsid w:val="4F7A2E0A"/>
    <w:rsid w:val="4F7D4544"/>
    <w:rsid w:val="4F8070D6"/>
    <w:rsid w:val="4F960859"/>
    <w:rsid w:val="5047571F"/>
    <w:rsid w:val="504A6673"/>
    <w:rsid w:val="504C6C81"/>
    <w:rsid w:val="509C6A81"/>
    <w:rsid w:val="50D9141C"/>
    <w:rsid w:val="513510BA"/>
    <w:rsid w:val="513A169B"/>
    <w:rsid w:val="513F5F02"/>
    <w:rsid w:val="51595865"/>
    <w:rsid w:val="51731979"/>
    <w:rsid w:val="51835744"/>
    <w:rsid w:val="519D703D"/>
    <w:rsid w:val="51AD2324"/>
    <w:rsid w:val="51B3260F"/>
    <w:rsid w:val="51D6787C"/>
    <w:rsid w:val="51E277AA"/>
    <w:rsid w:val="51F821E7"/>
    <w:rsid w:val="5211312E"/>
    <w:rsid w:val="52382072"/>
    <w:rsid w:val="525877A1"/>
    <w:rsid w:val="52897A61"/>
    <w:rsid w:val="52924122"/>
    <w:rsid w:val="529C3D71"/>
    <w:rsid w:val="52A95982"/>
    <w:rsid w:val="52CB7105"/>
    <w:rsid w:val="5302727A"/>
    <w:rsid w:val="5326466D"/>
    <w:rsid w:val="53322B3A"/>
    <w:rsid w:val="533A360B"/>
    <w:rsid w:val="53546F11"/>
    <w:rsid w:val="53672661"/>
    <w:rsid w:val="53B3545C"/>
    <w:rsid w:val="53B50834"/>
    <w:rsid w:val="53BE511F"/>
    <w:rsid w:val="53D944ED"/>
    <w:rsid w:val="53E009A0"/>
    <w:rsid w:val="53E0759E"/>
    <w:rsid w:val="5409307D"/>
    <w:rsid w:val="543B6283"/>
    <w:rsid w:val="5440605F"/>
    <w:rsid w:val="544418CA"/>
    <w:rsid w:val="544421E9"/>
    <w:rsid w:val="547402AA"/>
    <w:rsid w:val="548A6E14"/>
    <w:rsid w:val="548F7A06"/>
    <w:rsid w:val="54B824A8"/>
    <w:rsid w:val="54BC2465"/>
    <w:rsid w:val="54C879D4"/>
    <w:rsid w:val="54CC3AA5"/>
    <w:rsid w:val="54D763D1"/>
    <w:rsid w:val="54EE47A1"/>
    <w:rsid w:val="54FA42E6"/>
    <w:rsid w:val="54FC5566"/>
    <w:rsid w:val="5541046A"/>
    <w:rsid w:val="55441E77"/>
    <w:rsid w:val="554A00BD"/>
    <w:rsid w:val="55646279"/>
    <w:rsid w:val="5570291F"/>
    <w:rsid w:val="55772AEA"/>
    <w:rsid w:val="55F77C79"/>
    <w:rsid w:val="560C6F48"/>
    <w:rsid w:val="561632E8"/>
    <w:rsid w:val="5626354A"/>
    <w:rsid w:val="5644095D"/>
    <w:rsid w:val="5661376D"/>
    <w:rsid w:val="5684413A"/>
    <w:rsid w:val="568D3AD2"/>
    <w:rsid w:val="569643AF"/>
    <w:rsid w:val="56B91350"/>
    <w:rsid w:val="56BB3012"/>
    <w:rsid w:val="56CA2EF0"/>
    <w:rsid w:val="56EC26EE"/>
    <w:rsid w:val="571409D7"/>
    <w:rsid w:val="57144584"/>
    <w:rsid w:val="5751455E"/>
    <w:rsid w:val="57522792"/>
    <w:rsid w:val="577905C1"/>
    <w:rsid w:val="578A5B59"/>
    <w:rsid w:val="57A72C46"/>
    <w:rsid w:val="57B52C67"/>
    <w:rsid w:val="57BD484A"/>
    <w:rsid w:val="57E816E1"/>
    <w:rsid w:val="57F674E2"/>
    <w:rsid w:val="581B49EF"/>
    <w:rsid w:val="582E4A4C"/>
    <w:rsid w:val="588B6CE1"/>
    <w:rsid w:val="588C34DD"/>
    <w:rsid w:val="58973643"/>
    <w:rsid w:val="589F1B83"/>
    <w:rsid w:val="589F29A7"/>
    <w:rsid w:val="58B74C4A"/>
    <w:rsid w:val="58F60886"/>
    <w:rsid w:val="58FB1C97"/>
    <w:rsid w:val="5906406C"/>
    <w:rsid w:val="590C3ED2"/>
    <w:rsid w:val="59197381"/>
    <w:rsid w:val="591E343E"/>
    <w:rsid w:val="59224349"/>
    <w:rsid w:val="592868CF"/>
    <w:rsid w:val="59321CB0"/>
    <w:rsid w:val="59553752"/>
    <w:rsid w:val="595A1ED8"/>
    <w:rsid w:val="59714394"/>
    <w:rsid w:val="597763C5"/>
    <w:rsid w:val="597E21C5"/>
    <w:rsid w:val="598A369B"/>
    <w:rsid w:val="59B60821"/>
    <w:rsid w:val="59BC7C68"/>
    <w:rsid w:val="59C8345C"/>
    <w:rsid w:val="59CA65B8"/>
    <w:rsid w:val="59D77877"/>
    <w:rsid w:val="5A0A6991"/>
    <w:rsid w:val="5A0B1CD5"/>
    <w:rsid w:val="5A0E293E"/>
    <w:rsid w:val="5A12755E"/>
    <w:rsid w:val="5A165AC7"/>
    <w:rsid w:val="5A561FD2"/>
    <w:rsid w:val="5A791EEC"/>
    <w:rsid w:val="5A8705EC"/>
    <w:rsid w:val="5A8820AC"/>
    <w:rsid w:val="5A8C305D"/>
    <w:rsid w:val="5AAC5579"/>
    <w:rsid w:val="5AB01371"/>
    <w:rsid w:val="5AB42921"/>
    <w:rsid w:val="5AC16F5D"/>
    <w:rsid w:val="5AF059FF"/>
    <w:rsid w:val="5AF7256A"/>
    <w:rsid w:val="5AFE1046"/>
    <w:rsid w:val="5B100E30"/>
    <w:rsid w:val="5B247988"/>
    <w:rsid w:val="5B287C32"/>
    <w:rsid w:val="5B537B32"/>
    <w:rsid w:val="5B5D26B6"/>
    <w:rsid w:val="5B6271FD"/>
    <w:rsid w:val="5BA34B99"/>
    <w:rsid w:val="5BAC5D36"/>
    <w:rsid w:val="5BC92FF3"/>
    <w:rsid w:val="5BCD7C4C"/>
    <w:rsid w:val="5BD03237"/>
    <w:rsid w:val="5BE055BE"/>
    <w:rsid w:val="5C085DF0"/>
    <w:rsid w:val="5C0C36F5"/>
    <w:rsid w:val="5C102A01"/>
    <w:rsid w:val="5C16661C"/>
    <w:rsid w:val="5C213263"/>
    <w:rsid w:val="5C421254"/>
    <w:rsid w:val="5C446CD7"/>
    <w:rsid w:val="5C4E5204"/>
    <w:rsid w:val="5C744884"/>
    <w:rsid w:val="5C8E1E8D"/>
    <w:rsid w:val="5C905665"/>
    <w:rsid w:val="5CA55AD2"/>
    <w:rsid w:val="5CC30966"/>
    <w:rsid w:val="5CCC4C18"/>
    <w:rsid w:val="5CE80A4B"/>
    <w:rsid w:val="5CEF31A3"/>
    <w:rsid w:val="5CFD07C0"/>
    <w:rsid w:val="5D082556"/>
    <w:rsid w:val="5D333593"/>
    <w:rsid w:val="5D5537CA"/>
    <w:rsid w:val="5D687397"/>
    <w:rsid w:val="5D963596"/>
    <w:rsid w:val="5DB30DFC"/>
    <w:rsid w:val="5DB44CC1"/>
    <w:rsid w:val="5DD02440"/>
    <w:rsid w:val="5DDA61EA"/>
    <w:rsid w:val="5E0A297C"/>
    <w:rsid w:val="5E2C5DB0"/>
    <w:rsid w:val="5E4613C5"/>
    <w:rsid w:val="5E4C3E3E"/>
    <w:rsid w:val="5E4E5CE0"/>
    <w:rsid w:val="5E555E56"/>
    <w:rsid w:val="5E651C97"/>
    <w:rsid w:val="5E7C6A98"/>
    <w:rsid w:val="5EA0668C"/>
    <w:rsid w:val="5EC53CC0"/>
    <w:rsid w:val="5ED14C7D"/>
    <w:rsid w:val="5EE643A4"/>
    <w:rsid w:val="5EF54636"/>
    <w:rsid w:val="5F0B0C1A"/>
    <w:rsid w:val="5F0F0D8E"/>
    <w:rsid w:val="5F213EF7"/>
    <w:rsid w:val="5F7D0044"/>
    <w:rsid w:val="5F89768A"/>
    <w:rsid w:val="5F8A4535"/>
    <w:rsid w:val="5F966C9A"/>
    <w:rsid w:val="5FB15F73"/>
    <w:rsid w:val="5FB7238B"/>
    <w:rsid w:val="5FBD7A43"/>
    <w:rsid w:val="5FC056EF"/>
    <w:rsid w:val="5FCA6AA2"/>
    <w:rsid w:val="5FE76791"/>
    <w:rsid w:val="6009095E"/>
    <w:rsid w:val="603955AB"/>
    <w:rsid w:val="607F0EDB"/>
    <w:rsid w:val="60876FEC"/>
    <w:rsid w:val="60CF1478"/>
    <w:rsid w:val="611C7280"/>
    <w:rsid w:val="611D2712"/>
    <w:rsid w:val="61221FC0"/>
    <w:rsid w:val="6140400B"/>
    <w:rsid w:val="61420B5E"/>
    <w:rsid w:val="616C2E09"/>
    <w:rsid w:val="617A4D2A"/>
    <w:rsid w:val="618471AC"/>
    <w:rsid w:val="619D25F5"/>
    <w:rsid w:val="61BF1270"/>
    <w:rsid w:val="61D46889"/>
    <w:rsid w:val="61D56651"/>
    <w:rsid w:val="61DB2EAF"/>
    <w:rsid w:val="61ED1C9F"/>
    <w:rsid w:val="620460CA"/>
    <w:rsid w:val="62074CC4"/>
    <w:rsid w:val="621C691B"/>
    <w:rsid w:val="62284530"/>
    <w:rsid w:val="622B66C8"/>
    <w:rsid w:val="624F45E6"/>
    <w:rsid w:val="628C645C"/>
    <w:rsid w:val="62A03507"/>
    <w:rsid w:val="62CC0199"/>
    <w:rsid w:val="630C69D6"/>
    <w:rsid w:val="63184131"/>
    <w:rsid w:val="632531E4"/>
    <w:rsid w:val="634A0EE8"/>
    <w:rsid w:val="63531F34"/>
    <w:rsid w:val="63650357"/>
    <w:rsid w:val="63731249"/>
    <w:rsid w:val="63B26103"/>
    <w:rsid w:val="63B73283"/>
    <w:rsid w:val="63BE51B3"/>
    <w:rsid w:val="63E53398"/>
    <w:rsid w:val="63F94364"/>
    <w:rsid w:val="63FB6C75"/>
    <w:rsid w:val="63FE4EF9"/>
    <w:rsid w:val="64173570"/>
    <w:rsid w:val="64222836"/>
    <w:rsid w:val="64417BE3"/>
    <w:rsid w:val="64561C09"/>
    <w:rsid w:val="64653C58"/>
    <w:rsid w:val="646F5788"/>
    <w:rsid w:val="64716AED"/>
    <w:rsid w:val="64963A59"/>
    <w:rsid w:val="64984B5C"/>
    <w:rsid w:val="64AD5F05"/>
    <w:rsid w:val="64C419D5"/>
    <w:rsid w:val="64F45B57"/>
    <w:rsid w:val="64F87D11"/>
    <w:rsid w:val="650B2227"/>
    <w:rsid w:val="652763BA"/>
    <w:rsid w:val="654C3858"/>
    <w:rsid w:val="655921D3"/>
    <w:rsid w:val="65600EE5"/>
    <w:rsid w:val="656229B5"/>
    <w:rsid w:val="65933AEB"/>
    <w:rsid w:val="65A03541"/>
    <w:rsid w:val="65A066A5"/>
    <w:rsid w:val="65A860B7"/>
    <w:rsid w:val="65ED44BB"/>
    <w:rsid w:val="65F26FCA"/>
    <w:rsid w:val="665F2C3D"/>
    <w:rsid w:val="666B1EAD"/>
    <w:rsid w:val="66AB11DF"/>
    <w:rsid w:val="66B84BF7"/>
    <w:rsid w:val="66C82EB1"/>
    <w:rsid w:val="66C94780"/>
    <w:rsid w:val="66FD764B"/>
    <w:rsid w:val="67110B53"/>
    <w:rsid w:val="671859C3"/>
    <w:rsid w:val="672516BC"/>
    <w:rsid w:val="672809BE"/>
    <w:rsid w:val="674758E8"/>
    <w:rsid w:val="675B1706"/>
    <w:rsid w:val="67C372A7"/>
    <w:rsid w:val="67D71B54"/>
    <w:rsid w:val="67E9734B"/>
    <w:rsid w:val="68414320"/>
    <w:rsid w:val="684E0A90"/>
    <w:rsid w:val="68575D4F"/>
    <w:rsid w:val="686255D1"/>
    <w:rsid w:val="68672308"/>
    <w:rsid w:val="687930B9"/>
    <w:rsid w:val="688C2F6B"/>
    <w:rsid w:val="689C386B"/>
    <w:rsid w:val="68A55A52"/>
    <w:rsid w:val="68A97325"/>
    <w:rsid w:val="68AE33D9"/>
    <w:rsid w:val="68BA0DBE"/>
    <w:rsid w:val="68C82E11"/>
    <w:rsid w:val="68CA251E"/>
    <w:rsid w:val="68CF4BD3"/>
    <w:rsid w:val="68DA2FC0"/>
    <w:rsid w:val="69095B1A"/>
    <w:rsid w:val="693532A2"/>
    <w:rsid w:val="69572F81"/>
    <w:rsid w:val="695E6D80"/>
    <w:rsid w:val="69643C84"/>
    <w:rsid w:val="69653914"/>
    <w:rsid w:val="696A0B84"/>
    <w:rsid w:val="698F3E53"/>
    <w:rsid w:val="69A60F54"/>
    <w:rsid w:val="69AD702B"/>
    <w:rsid w:val="69B4022C"/>
    <w:rsid w:val="69DE068E"/>
    <w:rsid w:val="69E630F3"/>
    <w:rsid w:val="69F44666"/>
    <w:rsid w:val="69FC41C2"/>
    <w:rsid w:val="6A053308"/>
    <w:rsid w:val="6A16107A"/>
    <w:rsid w:val="6A2D5811"/>
    <w:rsid w:val="6A3C5853"/>
    <w:rsid w:val="6A663EBB"/>
    <w:rsid w:val="6A6C0C5D"/>
    <w:rsid w:val="6A872593"/>
    <w:rsid w:val="6A9D38AD"/>
    <w:rsid w:val="6ABB0BEE"/>
    <w:rsid w:val="6AD859DF"/>
    <w:rsid w:val="6ADB1781"/>
    <w:rsid w:val="6AE14AD1"/>
    <w:rsid w:val="6AEB6206"/>
    <w:rsid w:val="6B0B0572"/>
    <w:rsid w:val="6B1C35CD"/>
    <w:rsid w:val="6B242D40"/>
    <w:rsid w:val="6B255177"/>
    <w:rsid w:val="6B587546"/>
    <w:rsid w:val="6B5F3E27"/>
    <w:rsid w:val="6B6B0803"/>
    <w:rsid w:val="6B78082B"/>
    <w:rsid w:val="6B7B6CB3"/>
    <w:rsid w:val="6B9E190A"/>
    <w:rsid w:val="6BA10CBA"/>
    <w:rsid w:val="6BBA12E1"/>
    <w:rsid w:val="6BBF46A6"/>
    <w:rsid w:val="6BF96EBF"/>
    <w:rsid w:val="6C360DBA"/>
    <w:rsid w:val="6C3A2C2E"/>
    <w:rsid w:val="6C8152F0"/>
    <w:rsid w:val="6C830CAE"/>
    <w:rsid w:val="6C840D57"/>
    <w:rsid w:val="6C9A1DF5"/>
    <w:rsid w:val="6CB51DE2"/>
    <w:rsid w:val="6CCA43AC"/>
    <w:rsid w:val="6CCB38A5"/>
    <w:rsid w:val="6CD13A37"/>
    <w:rsid w:val="6CE67A99"/>
    <w:rsid w:val="6CEA6C68"/>
    <w:rsid w:val="6CF96DD3"/>
    <w:rsid w:val="6D131A11"/>
    <w:rsid w:val="6D2066F6"/>
    <w:rsid w:val="6D277BCA"/>
    <w:rsid w:val="6D342476"/>
    <w:rsid w:val="6D3A56E0"/>
    <w:rsid w:val="6D605C1C"/>
    <w:rsid w:val="6D620B1A"/>
    <w:rsid w:val="6D701650"/>
    <w:rsid w:val="6D7E09F2"/>
    <w:rsid w:val="6D886906"/>
    <w:rsid w:val="6D89012D"/>
    <w:rsid w:val="6DB9439B"/>
    <w:rsid w:val="6DDC2AB1"/>
    <w:rsid w:val="6E236C8B"/>
    <w:rsid w:val="6E2E60D6"/>
    <w:rsid w:val="6E363D1D"/>
    <w:rsid w:val="6E381BE7"/>
    <w:rsid w:val="6E503B80"/>
    <w:rsid w:val="6E9F482C"/>
    <w:rsid w:val="6EA11B96"/>
    <w:rsid w:val="6EA935B0"/>
    <w:rsid w:val="6EC575C1"/>
    <w:rsid w:val="6ECC6D4F"/>
    <w:rsid w:val="6F023F9F"/>
    <w:rsid w:val="6F203F14"/>
    <w:rsid w:val="6F357D2B"/>
    <w:rsid w:val="6F407EDF"/>
    <w:rsid w:val="6F6B57C7"/>
    <w:rsid w:val="6F8D1636"/>
    <w:rsid w:val="6F9F06C8"/>
    <w:rsid w:val="6FB040CF"/>
    <w:rsid w:val="6FB87765"/>
    <w:rsid w:val="6FE47623"/>
    <w:rsid w:val="700C7987"/>
    <w:rsid w:val="7048128B"/>
    <w:rsid w:val="704E250B"/>
    <w:rsid w:val="70610125"/>
    <w:rsid w:val="706210D2"/>
    <w:rsid w:val="70A850E0"/>
    <w:rsid w:val="70C46C1A"/>
    <w:rsid w:val="70D25041"/>
    <w:rsid w:val="70EF0898"/>
    <w:rsid w:val="71332ECD"/>
    <w:rsid w:val="71763FA6"/>
    <w:rsid w:val="717D47A9"/>
    <w:rsid w:val="719077ED"/>
    <w:rsid w:val="71A10541"/>
    <w:rsid w:val="71AA40E3"/>
    <w:rsid w:val="71B2377C"/>
    <w:rsid w:val="71DD4852"/>
    <w:rsid w:val="71E86CAA"/>
    <w:rsid w:val="71F72EF3"/>
    <w:rsid w:val="722404C8"/>
    <w:rsid w:val="723853AA"/>
    <w:rsid w:val="726040DF"/>
    <w:rsid w:val="726B747E"/>
    <w:rsid w:val="72766B4A"/>
    <w:rsid w:val="72806ABB"/>
    <w:rsid w:val="728A0D4B"/>
    <w:rsid w:val="728C1834"/>
    <w:rsid w:val="72960DC9"/>
    <w:rsid w:val="72C2062F"/>
    <w:rsid w:val="72D241D5"/>
    <w:rsid w:val="72DD38F9"/>
    <w:rsid w:val="72F557F2"/>
    <w:rsid w:val="73025B61"/>
    <w:rsid w:val="73456B57"/>
    <w:rsid w:val="735159EE"/>
    <w:rsid w:val="73750E87"/>
    <w:rsid w:val="7393678C"/>
    <w:rsid w:val="73CF13A9"/>
    <w:rsid w:val="73D577EF"/>
    <w:rsid w:val="73D83897"/>
    <w:rsid w:val="742D5AA4"/>
    <w:rsid w:val="744C14B7"/>
    <w:rsid w:val="745D54CB"/>
    <w:rsid w:val="74742787"/>
    <w:rsid w:val="74A07A3D"/>
    <w:rsid w:val="74A15820"/>
    <w:rsid w:val="74C309E0"/>
    <w:rsid w:val="74D43BED"/>
    <w:rsid w:val="74ED57E8"/>
    <w:rsid w:val="74FB1282"/>
    <w:rsid w:val="751A4CB1"/>
    <w:rsid w:val="75380768"/>
    <w:rsid w:val="753F62BC"/>
    <w:rsid w:val="75591CDD"/>
    <w:rsid w:val="7584453C"/>
    <w:rsid w:val="759F654A"/>
    <w:rsid w:val="75AE4ED6"/>
    <w:rsid w:val="76147EA8"/>
    <w:rsid w:val="76221EF2"/>
    <w:rsid w:val="76231724"/>
    <w:rsid w:val="7635677A"/>
    <w:rsid w:val="767827BC"/>
    <w:rsid w:val="769B2E6E"/>
    <w:rsid w:val="76B63CB9"/>
    <w:rsid w:val="76BE36F5"/>
    <w:rsid w:val="76D65717"/>
    <w:rsid w:val="77002848"/>
    <w:rsid w:val="77081300"/>
    <w:rsid w:val="770857BC"/>
    <w:rsid w:val="7740418A"/>
    <w:rsid w:val="774B04E7"/>
    <w:rsid w:val="7752637B"/>
    <w:rsid w:val="778A3364"/>
    <w:rsid w:val="778E4432"/>
    <w:rsid w:val="77A97B27"/>
    <w:rsid w:val="77AE74A3"/>
    <w:rsid w:val="77B87EAA"/>
    <w:rsid w:val="780213C3"/>
    <w:rsid w:val="78065B62"/>
    <w:rsid w:val="7808566D"/>
    <w:rsid w:val="780E4457"/>
    <w:rsid w:val="781425E4"/>
    <w:rsid w:val="78172A52"/>
    <w:rsid w:val="782A6600"/>
    <w:rsid w:val="78336799"/>
    <w:rsid w:val="78485DC9"/>
    <w:rsid w:val="7855062C"/>
    <w:rsid w:val="787E4FEE"/>
    <w:rsid w:val="78814596"/>
    <w:rsid w:val="78AD2AD9"/>
    <w:rsid w:val="78F1240A"/>
    <w:rsid w:val="78F94B5E"/>
    <w:rsid w:val="790A0241"/>
    <w:rsid w:val="790D73DA"/>
    <w:rsid w:val="7915223F"/>
    <w:rsid w:val="79427E3F"/>
    <w:rsid w:val="79753A92"/>
    <w:rsid w:val="797D7A11"/>
    <w:rsid w:val="79843AB4"/>
    <w:rsid w:val="7994277F"/>
    <w:rsid w:val="799A055F"/>
    <w:rsid w:val="79A52B91"/>
    <w:rsid w:val="79DF310E"/>
    <w:rsid w:val="79F30939"/>
    <w:rsid w:val="79F3521E"/>
    <w:rsid w:val="7A2647CF"/>
    <w:rsid w:val="7A265378"/>
    <w:rsid w:val="7A501480"/>
    <w:rsid w:val="7A6D4E19"/>
    <w:rsid w:val="7A9C600B"/>
    <w:rsid w:val="7ABE366E"/>
    <w:rsid w:val="7ABF3C4C"/>
    <w:rsid w:val="7ACE1217"/>
    <w:rsid w:val="7AD2483E"/>
    <w:rsid w:val="7AD4704C"/>
    <w:rsid w:val="7B1B665D"/>
    <w:rsid w:val="7B245869"/>
    <w:rsid w:val="7B305689"/>
    <w:rsid w:val="7B580EBA"/>
    <w:rsid w:val="7B621408"/>
    <w:rsid w:val="7B741F1B"/>
    <w:rsid w:val="7B963CB5"/>
    <w:rsid w:val="7BA25AE6"/>
    <w:rsid w:val="7BB6254C"/>
    <w:rsid w:val="7BE55B69"/>
    <w:rsid w:val="7BED7B29"/>
    <w:rsid w:val="7BEF3DD7"/>
    <w:rsid w:val="7C1C6DA1"/>
    <w:rsid w:val="7C4A4D16"/>
    <w:rsid w:val="7C4C2A25"/>
    <w:rsid w:val="7C617B1F"/>
    <w:rsid w:val="7C617F73"/>
    <w:rsid w:val="7C7F10D3"/>
    <w:rsid w:val="7CB66D8E"/>
    <w:rsid w:val="7CE24C2B"/>
    <w:rsid w:val="7CE5085D"/>
    <w:rsid w:val="7CF0391B"/>
    <w:rsid w:val="7CF36722"/>
    <w:rsid w:val="7D0D5B30"/>
    <w:rsid w:val="7D1275B0"/>
    <w:rsid w:val="7D1D6AD1"/>
    <w:rsid w:val="7D242075"/>
    <w:rsid w:val="7D2C30BA"/>
    <w:rsid w:val="7D387E8C"/>
    <w:rsid w:val="7D41012B"/>
    <w:rsid w:val="7D484A72"/>
    <w:rsid w:val="7D7B0335"/>
    <w:rsid w:val="7D835A63"/>
    <w:rsid w:val="7D8C335A"/>
    <w:rsid w:val="7D963BB8"/>
    <w:rsid w:val="7DA51B80"/>
    <w:rsid w:val="7DB048C1"/>
    <w:rsid w:val="7DB329B9"/>
    <w:rsid w:val="7DB975BC"/>
    <w:rsid w:val="7DE95FFC"/>
    <w:rsid w:val="7E0E0535"/>
    <w:rsid w:val="7E2251E6"/>
    <w:rsid w:val="7E2F224E"/>
    <w:rsid w:val="7E604886"/>
    <w:rsid w:val="7E6F3D51"/>
    <w:rsid w:val="7E9E5429"/>
    <w:rsid w:val="7EA0548C"/>
    <w:rsid w:val="7EAA77EB"/>
    <w:rsid w:val="7ED323D9"/>
    <w:rsid w:val="7EF10D53"/>
    <w:rsid w:val="7EFA3FB7"/>
    <w:rsid w:val="7F0147AC"/>
    <w:rsid w:val="7F0E5DC9"/>
    <w:rsid w:val="7F4F589C"/>
    <w:rsid w:val="7F522309"/>
    <w:rsid w:val="7F58033A"/>
    <w:rsid w:val="7F7E54A9"/>
    <w:rsid w:val="7F8F3FF9"/>
    <w:rsid w:val="7F920964"/>
    <w:rsid w:val="7FA6073E"/>
    <w:rsid w:val="7FAE38C3"/>
    <w:rsid w:val="7FB31894"/>
    <w:rsid w:val="7FB74028"/>
    <w:rsid w:val="7FCD6598"/>
    <w:rsid w:val="7FE06078"/>
    <w:rsid w:val="7FE67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semiHidden/>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toc 5"/>
    <w:basedOn w:val="1"/>
    <w:next w:val="1"/>
    <w:qFormat/>
    <w:uiPriority w:val="0"/>
    <w:pPr>
      <w:ind w:left="1680" w:leftChars="800"/>
    </w:p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cs="Courier New"/>
      <w:szCs w:val="21"/>
    </w:rPr>
  </w:style>
  <w:style w:type="paragraph" w:styleId="9">
    <w:name w:val="toc 8"/>
    <w:basedOn w:val="1"/>
    <w:next w:val="1"/>
    <w:qFormat/>
    <w:uiPriority w:val="0"/>
    <w:pPr>
      <w:ind w:left="2940" w:leftChars="1400"/>
    </w:pPr>
  </w:style>
  <w:style w:type="paragraph" w:styleId="10">
    <w:name w:val="Balloon Text"/>
    <w:basedOn w:val="1"/>
    <w:link w:val="22"/>
    <w:qFormat/>
    <w:uiPriority w:val="0"/>
    <w:rPr>
      <w:sz w:val="18"/>
      <w:szCs w:val="18"/>
    </w:rPr>
  </w:style>
  <w:style w:type="paragraph" w:styleId="11">
    <w:name w:val="footer"/>
    <w:basedOn w:val="1"/>
    <w:link w:val="28"/>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toc 4"/>
    <w:basedOn w:val="1"/>
    <w:next w:val="1"/>
    <w:qFormat/>
    <w:uiPriority w:val="0"/>
    <w:pPr>
      <w:ind w:left="1260" w:leftChars="600"/>
    </w:pPr>
  </w:style>
  <w:style w:type="paragraph" w:styleId="15">
    <w:name w:val="toc 6"/>
    <w:basedOn w:val="1"/>
    <w:next w:val="1"/>
    <w:qFormat/>
    <w:uiPriority w:val="0"/>
    <w:pPr>
      <w:ind w:left="2100" w:leftChars="1000"/>
    </w:pPr>
  </w:style>
  <w:style w:type="paragraph" w:styleId="16">
    <w:name w:val="toc 2"/>
    <w:basedOn w:val="1"/>
    <w:next w:val="1"/>
    <w:qFormat/>
    <w:uiPriority w:val="39"/>
    <w:pPr>
      <w:ind w:left="420" w:leftChars="200"/>
    </w:pPr>
  </w:style>
  <w:style w:type="paragraph" w:styleId="17">
    <w:name w:val="toc 9"/>
    <w:basedOn w:val="1"/>
    <w:next w:val="1"/>
    <w:qFormat/>
    <w:uiPriority w:val="0"/>
    <w:pPr>
      <w:ind w:left="3360" w:leftChars="1600"/>
    </w:pPr>
  </w:style>
  <w:style w:type="character" w:styleId="20">
    <w:name w:val="page number"/>
    <w:basedOn w:val="19"/>
    <w:qFormat/>
    <w:uiPriority w:val="0"/>
  </w:style>
  <w:style w:type="character" w:styleId="21">
    <w:name w:val="Hyperlink"/>
    <w:unhideWhenUsed/>
    <w:qFormat/>
    <w:uiPriority w:val="99"/>
    <w:rPr>
      <w:color w:val="0000FF"/>
      <w:u w:val="single"/>
    </w:rPr>
  </w:style>
  <w:style w:type="character" w:customStyle="1" w:styleId="22">
    <w:name w:val="批注框文本 字符"/>
    <w:link w:val="10"/>
    <w:qFormat/>
    <w:uiPriority w:val="0"/>
    <w:rPr>
      <w:rFonts w:eastAsia="宋体"/>
      <w:kern w:val="2"/>
      <w:sz w:val="18"/>
      <w:szCs w:val="18"/>
    </w:rPr>
  </w:style>
  <w:style w:type="paragraph" w:customStyle="1" w:styleId="23">
    <w:name w:val="Char"/>
    <w:basedOn w:val="1"/>
    <w:qFormat/>
    <w:uiPriority w:val="0"/>
    <w:pPr>
      <w:widowControl/>
      <w:spacing w:line="640" w:lineRule="atLeast"/>
    </w:pPr>
    <w:rPr>
      <w:szCs w:val="24"/>
    </w:rPr>
  </w:style>
  <w:style w:type="paragraph" w:customStyle="1" w:styleId="24">
    <w:name w:val="规划正文"/>
    <w:basedOn w:val="1"/>
    <w:uiPriority w:val="0"/>
    <w:pPr>
      <w:spacing w:line="560" w:lineRule="exact"/>
      <w:ind w:firstLine="600" w:firstLineChars="200"/>
    </w:pPr>
    <w:rPr>
      <w:rFonts w:ascii="仿宋_GB2312" w:hAnsi="华文仿宋" w:eastAsia="仿宋_GB2312"/>
      <w:sz w:val="30"/>
      <w:szCs w:val="30"/>
    </w:rPr>
  </w:style>
  <w:style w:type="character" w:customStyle="1" w:styleId="25">
    <w:name w:val="标题 1 字符"/>
    <w:link w:val="2"/>
    <w:qFormat/>
    <w:uiPriority w:val="0"/>
    <w:rPr>
      <w:rFonts w:eastAsia="宋体"/>
      <w:b/>
      <w:bCs/>
      <w:kern w:val="44"/>
      <w:sz w:val="44"/>
      <w:szCs w:val="44"/>
    </w:rPr>
  </w:style>
  <w:style w:type="paragraph" w:customStyle="1" w:styleId="26">
    <w:name w:val="TOC 标题1"/>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7">
    <w:name w:val="Char Char1 Char Char Char Char Char Char Char Char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character" w:customStyle="1" w:styleId="28">
    <w:name w:val="页脚 字符"/>
    <w:link w:val="11"/>
    <w:qFormat/>
    <w:uiPriority w:val="99"/>
    <w:rPr>
      <w:rFonts w:ascii="Calibri" w:hAnsi="Calibri"/>
      <w:sz w:val="18"/>
      <w:szCs w:val="18"/>
    </w:rPr>
  </w:style>
  <w:style w:type="character" w:customStyle="1" w:styleId="29">
    <w:name w:val="标题 3 字符"/>
    <w:basedOn w:val="19"/>
    <w:link w:val="4"/>
    <w:semiHidden/>
    <w:qFormat/>
    <w:uiPriority w:val="0"/>
    <w:rPr>
      <w:b/>
      <w:bCs/>
      <w:kern w:val="2"/>
      <w:sz w:val="32"/>
      <w:szCs w:val="32"/>
    </w:rPr>
  </w:style>
  <w:style w:type="paragraph" w:customStyle="1" w:styleId="30">
    <w:name w:val="Char Char1 Char Char Char Char Char Char"/>
    <w:basedOn w:val="1"/>
    <w:qFormat/>
    <w:uiPriority w:val="0"/>
    <w:pPr>
      <w:widowControl/>
      <w:jc w:val="left"/>
    </w:pPr>
    <w:rPr>
      <w:rFonts w:ascii="Tahoma" w:hAnsi="Tahoma"/>
      <w:kern w:val="0"/>
      <w:sz w:val="24"/>
      <w:szCs w:val="20"/>
    </w:rPr>
  </w:style>
  <w:style w:type="character" w:customStyle="1" w:styleId="31">
    <w:name w:val="标题 2 字符"/>
    <w:basedOn w:val="19"/>
    <w:link w:val="3"/>
    <w:semiHidden/>
    <w:qFormat/>
    <w:uiPriority w:val="0"/>
    <w:rPr>
      <w:rFonts w:asciiTheme="majorHAnsi" w:hAnsiTheme="majorHAnsi" w:eastAsiaTheme="majorEastAsia" w:cstheme="majorBidi"/>
      <w:b/>
      <w:bCs/>
      <w:kern w:val="2"/>
      <w:sz w:val="32"/>
      <w:szCs w:val="32"/>
    </w:rPr>
  </w:style>
  <w:style w:type="character" w:customStyle="1" w:styleId="32">
    <w:name w:val="标题 1 Char"/>
    <w:qFormat/>
    <w:uiPriority w:val="0"/>
    <w:rPr>
      <w:rFonts w:eastAsia="宋体"/>
      <w:b/>
      <w:bCs/>
      <w:kern w:val="44"/>
      <w:sz w:val="44"/>
      <w:szCs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18B985-5EB9-4084-9820-3ABBC0046A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3135</Words>
  <Characters>17875</Characters>
  <Lines>148</Lines>
  <Paragraphs>41</Paragraphs>
  <TotalTime>19</TotalTime>
  <ScaleCrop>false</ScaleCrop>
  <LinksUpToDate>false</LinksUpToDate>
  <CharactersWithSpaces>20969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2019-07-19T08:57:00Z</dcterms:created>
  <dc:creator>ksingzhao</dc:creator>
  <cp:lastModifiedBy>Administrator</cp:lastModifiedBy>
  <cp:lastPrinted>2019-04-18T01:31:00Z</cp:lastPrinted>
  <dcterms:modified xsi:type="dcterms:W3CDTF">2019-07-22T08:57:29Z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