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24" w:rsidRDefault="009E0124" w:rsidP="009E0124">
      <w:pPr>
        <w:pStyle w:val="NormalWeb"/>
        <w:shd w:val="clear" w:color="auto" w:fill="FFFFFF"/>
        <w:spacing w:beforeAutospacing="0" w:afterAutospacing="0" w:line="560" w:lineRule="exact"/>
        <w:ind w:firstLineChars="200" w:firstLine="31680"/>
        <w:jc w:val="center"/>
        <w:rPr>
          <w:rFonts w:ascii="仿宋_GB2312" w:eastAsia="仿宋_GB2312" w:hAnsi="仿宋_GB2312" w:cs="仿宋_GB2312"/>
          <w:b/>
          <w:bCs/>
          <w:sz w:val="36"/>
          <w:szCs w:val="36"/>
        </w:rPr>
      </w:pPr>
      <w:r>
        <w:rPr>
          <w:rStyle w:val="Strong"/>
          <w:rFonts w:ascii="仿宋_GB2312" w:eastAsia="仿宋_GB2312" w:hAnsi="仿宋_GB2312" w:cs="仿宋_GB2312" w:hint="eastAsia"/>
          <w:b/>
          <w:bCs/>
          <w:sz w:val="36"/>
          <w:szCs w:val="36"/>
        </w:rPr>
        <w:t>第一章　发展回顾与</w:t>
      </w:r>
      <w:r>
        <w:rPr>
          <w:rFonts w:ascii="仿宋_GB2312" w:eastAsia="仿宋_GB2312" w:hAnsi="仿宋_GB2312" w:cs="仿宋_GB2312" w:hint="eastAsia"/>
          <w:b/>
          <w:bCs/>
          <w:color w:val="333333"/>
          <w:sz w:val="36"/>
          <w:szCs w:val="36"/>
        </w:rPr>
        <w:t>发展</w:t>
      </w:r>
      <w:r>
        <w:rPr>
          <w:rStyle w:val="Strong"/>
          <w:rFonts w:ascii="仿宋_GB2312" w:eastAsia="仿宋_GB2312" w:hAnsi="仿宋_GB2312" w:cs="仿宋_GB2312" w:hint="eastAsia"/>
          <w:b/>
          <w:bCs/>
          <w:sz w:val="36"/>
          <w:szCs w:val="36"/>
        </w:rPr>
        <w:t>环境</w:t>
      </w:r>
    </w:p>
    <w:p w:rsidR="009E0124" w:rsidRDefault="009E0124" w:rsidP="00255870">
      <w:pPr>
        <w:pStyle w:val="NormalWeb"/>
        <w:widowControl/>
        <w:spacing w:beforeAutospacing="0" w:afterAutospacing="0" w:line="560" w:lineRule="exact"/>
        <w:ind w:firstLineChars="200" w:firstLine="31680"/>
        <w:jc w:val="both"/>
        <w:rPr>
          <w:rFonts w:ascii="黑体" w:eastAsia="黑体" w:hAnsi="仿宋_GB2312" w:cs="仿宋_GB2312"/>
          <w:bCs/>
          <w:color w:val="333333"/>
          <w:sz w:val="32"/>
          <w:szCs w:val="32"/>
        </w:rPr>
      </w:pP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hAnsi="仿宋_GB2312" w:cs="仿宋_GB2312"/>
          <w:b/>
          <w:color w:val="333333"/>
          <w:sz w:val="32"/>
          <w:szCs w:val="32"/>
        </w:rPr>
      </w:pPr>
      <w:r>
        <w:rPr>
          <w:rFonts w:ascii="仿宋_GB2312" w:eastAsia="仿宋_GB2312" w:hAnsi="仿宋_GB2312" w:cs="仿宋_GB2312" w:hint="eastAsia"/>
          <w:b/>
          <w:color w:val="333333"/>
          <w:sz w:val="32"/>
          <w:szCs w:val="32"/>
        </w:rPr>
        <w:t>一、金融发展回顾</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sz w:val="32"/>
          <w:szCs w:val="32"/>
        </w:rPr>
        <w:t>“十二五”期间，面对严峻复杂的经济形势，全县金融系统紧紧围绕县委县政府战略部署，优化金融服务理念，深化金融体制改革，强化金融服务创新，金融业发展取得了积极的成效。</w:t>
      </w:r>
    </w:p>
    <w:p w:rsidR="009E0124" w:rsidRDefault="009E0124" w:rsidP="00255870">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b/>
          <w:bCs/>
          <w:sz w:val="32"/>
          <w:szCs w:val="32"/>
        </w:rPr>
        <w:t>——</w:t>
      </w:r>
      <w:r>
        <w:rPr>
          <w:rFonts w:ascii="仿宋_GB2312" w:eastAsia="仿宋_GB2312" w:hAnsi="仿宋_GB2312" w:cs="仿宋_GB2312" w:hint="eastAsia"/>
          <w:b/>
          <w:sz w:val="32"/>
          <w:szCs w:val="32"/>
        </w:rPr>
        <w:t>金融规模不断扩大</w:t>
      </w:r>
      <w:r>
        <w:rPr>
          <w:rFonts w:ascii="仿宋_GB2312" w:eastAsia="仿宋_GB2312" w:hAnsi="仿宋_GB2312" w:cs="仿宋_GB2312" w:hint="eastAsia"/>
          <w:b/>
          <w:bCs/>
          <w:sz w:val="32"/>
          <w:szCs w:val="32"/>
        </w:rPr>
        <w:t>。</w:t>
      </w:r>
      <w:r>
        <w:rPr>
          <w:rFonts w:ascii="仿宋_GB2312" w:eastAsia="仿宋_GB2312" w:hint="eastAsia"/>
          <w:kern w:val="0"/>
          <w:sz w:val="32"/>
          <w:szCs w:val="32"/>
        </w:rPr>
        <w:t>银行存贷款较快增长，“十二五”期末，银行业本外币贷款余额</w:t>
      </w:r>
      <w:r>
        <w:rPr>
          <w:rFonts w:ascii="仿宋_GB2312" w:eastAsia="仿宋_GB2312"/>
          <w:kern w:val="0"/>
          <w:sz w:val="32"/>
          <w:szCs w:val="32"/>
        </w:rPr>
        <w:t>220.45</w:t>
      </w:r>
      <w:r>
        <w:rPr>
          <w:rFonts w:ascii="仿宋_GB2312" w:eastAsia="仿宋_GB2312" w:hint="eastAsia"/>
          <w:kern w:val="0"/>
          <w:sz w:val="32"/>
          <w:szCs w:val="32"/>
        </w:rPr>
        <w:t>亿元，年均增长</w:t>
      </w:r>
      <w:r>
        <w:rPr>
          <w:rFonts w:ascii="仿宋_GB2312" w:eastAsia="仿宋_GB2312"/>
          <w:kern w:val="0"/>
          <w:sz w:val="32"/>
          <w:szCs w:val="32"/>
        </w:rPr>
        <w:t>10.53%</w:t>
      </w:r>
      <w:r>
        <w:rPr>
          <w:rFonts w:ascii="仿宋_GB2312" w:eastAsia="仿宋_GB2312" w:hint="eastAsia"/>
          <w:kern w:val="0"/>
          <w:sz w:val="32"/>
          <w:szCs w:val="32"/>
        </w:rPr>
        <w:t>，本外币存款余额</w:t>
      </w:r>
      <w:r>
        <w:rPr>
          <w:rFonts w:ascii="仿宋_GB2312" w:eastAsia="仿宋_GB2312"/>
          <w:kern w:val="0"/>
          <w:sz w:val="32"/>
          <w:szCs w:val="32"/>
        </w:rPr>
        <w:t>497.19</w:t>
      </w:r>
      <w:r>
        <w:rPr>
          <w:rFonts w:ascii="仿宋_GB2312" w:eastAsia="仿宋_GB2312" w:hint="eastAsia"/>
          <w:kern w:val="0"/>
          <w:sz w:val="32"/>
          <w:szCs w:val="32"/>
        </w:rPr>
        <w:t>亿元，年均增长</w:t>
      </w:r>
      <w:r>
        <w:rPr>
          <w:rFonts w:ascii="仿宋_GB2312" w:eastAsia="仿宋_GB2312"/>
          <w:kern w:val="0"/>
          <w:sz w:val="32"/>
          <w:szCs w:val="32"/>
        </w:rPr>
        <w:t>9.86%</w:t>
      </w:r>
      <w:r>
        <w:rPr>
          <w:rFonts w:ascii="仿宋_GB2312" w:eastAsia="仿宋_GB2312" w:hint="eastAsia"/>
          <w:kern w:val="0"/>
          <w:sz w:val="32"/>
          <w:szCs w:val="32"/>
        </w:rPr>
        <w:t>。股票交易规模快速扩大，“十二五”期末，全县股票</w:t>
      </w:r>
      <w:r>
        <w:rPr>
          <w:rFonts w:ascii="仿宋_GB2312" w:eastAsia="仿宋_GB2312"/>
          <w:kern w:val="0"/>
          <w:sz w:val="32"/>
          <w:szCs w:val="32"/>
        </w:rPr>
        <w:t>A</w:t>
      </w:r>
      <w:r>
        <w:rPr>
          <w:rFonts w:ascii="仿宋_GB2312" w:eastAsia="仿宋_GB2312" w:hint="eastAsia"/>
          <w:kern w:val="0"/>
          <w:sz w:val="32"/>
          <w:szCs w:val="32"/>
        </w:rPr>
        <w:t>股交易累计额</w:t>
      </w:r>
      <w:r>
        <w:rPr>
          <w:rFonts w:ascii="仿宋_GB2312" w:eastAsia="仿宋_GB2312"/>
          <w:kern w:val="0"/>
          <w:sz w:val="32"/>
          <w:szCs w:val="32"/>
        </w:rPr>
        <w:t>1118</w:t>
      </w:r>
      <w:r>
        <w:rPr>
          <w:rFonts w:ascii="仿宋_GB2312" w:eastAsia="仿宋_GB2312" w:hint="eastAsia"/>
          <w:kern w:val="0"/>
          <w:sz w:val="32"/>
          <w:szCs w:val="32"/>
        </w:rPr>
        <w:t>亿元，年均增长</w:t>
      </w:r>
      <w:r>
        <w:rPr>
          <w:rFonts w:ascii="仿宋_GB2312" w:eastAsia="仿宋_GB2312"/>
          <w:kern w:val="0"/>
          <w:sz w:val="32"/>
          <w:szCs w:val="32"/>
        </w:rPr>
        <w:t>45.40%</w:t>
      </w:r>
      <w:r>
        <w:rPr>
          <w:rFonts w:ascii="仿宋_GB2312" w:eastAsia="仿宋_GB2312" w:hint="eastAsia"/>
          <w:kern w:val="0"/>
          <w:sz w:val="32"/>
          <w:szCs w:val="32"/>
        </w:rPr>
        <w:t>。保险机构社会保障能力逐步增强，“十二五”期末，全县保险机构保费收入</w:t>
      </w:r>
      <w:r>
        <w:rPr>
          <w:rFonts w:ascii="仿宋_GB2312" w:eastAsia="仿宋_GB2312"/>
          <w:kern w:val="0"/>
          <w:sz w:val="32"/>
          <w:szCs w:val="32"/>
        </w:rPr>
        <w:t>4.8</w:t>
      </w:r>
      <w:r>
        <w:rPr>
          <w:rFonts w:ascii="仿宋_GB2312" w:eastAsia="仿宋_GB2312" w:hint="eastAsia"/>
          <w:kern w:val="0"/>
          <w:sz w:val="32"/>
          <w:szCs w:val="32"/>
        </w:rPr>
        <w:t>亿元，年均增长</w:t>
      </w:r>
      <w:r>
        <w:rPr>
          <w:rFonts w:ascii="仿宋_GB2312" w:eastAsia="仿宋_GB2312"/>
          <w:kern w:val="0"/>
          <w:sz w:val="32"/>
          <w:szCs w:val="32"/>
        </w:rPr>
        <w:t>11.20%</w:t>
      </w:r>
      <w:r>
        <w:rPr>
          <w:rFonts w:ascii="仿宋_GB2312" w:eastAsia="仿宋_GB2312" w:hint="eastAsia"/>
          <w:kern w:val="0"/>
          <w:sz w:val="32"/>
          <w:szCs w:val="32"/>
        </w:rPr>
        <w:t>，保险深度</w:t>
      </w:r>
      <w:r>
        <w:rPr>
          <w:rFonts w:ascii="仿宋_GB2312" w:eastAsia="仿宋_GB2312"/>
          <w:kern w:val="0"/>
          <w:sz w:val="32"/>
          <w:szCs w:val="32"/>
        </w:rPr>
        <w:t>2.49%</w:t>
      </w:r>
      <w:r>
        <w:rPr>
          <w:rFonts w:ascii="仿宋_GB2312" w:eastAsia="仿宋_GB2312" w:hint="eastAsia"/>
          <w:kern w:val="0"/>
          <w:sz w:val="32"/>
          <w:szCs w:val="32"/>
        </w:rPr>
        <w:t>，保险密度</w:t>
      </w:r>
      <w:r>
        <w:rPr>
          <w:rFonts w:ascii="仿宋_GB2312" w:eastAsia="仿宋_GB2312"/>
          <w:kern w:val="0"/>
          <w:sz w:val="32"/>
          <w:szCs w:val="32"/>
        </w:rPr>
        <w:t>879.94</w:t>
      </w:r>
      <w:r>
        <w:rPr>
          <w:rFonts w:ascii="仿宋_GB2312" w:eastAsia="仿宋_GB2312" w:hint="eastAsia"/>
          <w:kern w:val="0"/>
          <w:sz w:val="32"/>
          <w:szCs w:val="32"/>
        </w:rPr>
        <w:t>元</w:t>
      </w:r>
      <w:r>
        <w:rPr>
          <w:rFonts w:ascii="仿宋_GB2312" w:eastAsia="仿宋_GB2312"/>
          <w:kern w:val="0"/>
          <w:sz w:val="32"/>
          <w:szCs w:val="32"/>
        </w:rPr>
        <w:t>/</w:t>
      </w:r>
      <w:r>
        <w:rPr>
          <w:rFonts w:ascii="仿宋_GB2312" w:eastAsia="仿宋_GB2312" w:hint="eastAsia"/>
          <w:kern w:val="0"/>
          <w:sz w:val="32"/>
          <w:szCs w:val="32"/>
        </w:rPr>
        <w:t>人。企业上市融资实现零突破。</w:t>
      </w:r>
    </w:p>
    <w:p w:rsidR="009E0124" w:rsidRDefault="009E0124" w:rsidP="00255870">
      <w:pPr>
        <w:spacing w:line="560" w:lineRule="exact"/>
        <w:ind w:firstLineChars="200" w:firstLine="31680"/>
        <w:rPr>
          <w:rFonts w:ascii="仿宋_GB2312" w:eastAsia="仿宋_GB2312"/>
          <w:kern w:val="0"/>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金融体系日益健全。</w:t>
      </w:r>
      <w:r>
        <w:rPr>
          <w:rFonts w:ascii="仿宋_GB2312" w:eastAsia="仿宋_GB2312" w:hint="eastAsia"/>
          <w:kern w:val="0"/>
          <w:sz w:val="32"/>
          <w:szCs w:val="32"/>
        </w:rPr>
        <w:t>已基本建立以银行业金融机构为主体，其它金融机构有机协调发展，结构比较合理、功能比较完备的现代金融组织体系。“十二五”期末，我县银行业金融机构</w:t>
      </w:r>
      <w:r>
        <w:rPr>
          <w:rFonts w:ascii="仿宋_GB2312" w:eastAsia="仿宋_GB2312"/>
          <w:kern w:val="0"/>
          <w:sz w:val="32"/>
          <w:szCs w:val="32"/>
        </w:rPr>
        <w:t>13</w:t>
      </w:r>
      <w:r>
        <w:rPr>
          <w:rFonts w:ascii="仿宋_GB2312" w:eastAsia="仿宋_GB2312" w:hint="eastAsia"/>
          <w:kern w:val="0"/>
          <w:sz w:val="32"/>
          <w:szCs w:val="32"/>
        </w:rPr>
        <w:t>家，其中法人银行业金融机构</w:t>
      </w:r>
      <w:r>
        <w:rPr>
          <w:rFonts w:ascii="仿宋_GB2312" w:eastAsia="仿宋_GB2312"/>
          <w:kern w:val="0"/>
          <w:sz w:val="32"/>
          <w:szCs w:val="32"/>
        </w:rPr>
        <w:t>2</w:t>
      </w:r>
      <w:r>
        <w:rPr>
          <w:rFonts w:ascii="仿宋_GB2312" w:eastAsia="仿宋_GB2312" w:hint="eastAsia"/>
          <w:kern w:val="0"/>
          <w:sz w:val="32"/>
          <w:szCs w:val="32"/>
        </w:rPr>
        <w:t>家。小额贷款公司</w:t>
      </w:r>
      <w:r>
        <w:rPr>
          <w:rFonts w:ascii="仿宋_GB2312" w:eastAsia="仿宋_GB2312"/>
          <w:kern w:val="0"/>
          <w:sz w:val="32"/>
          <w:szCs w:val="32"/>
        </w:rPr>
        <w:t>3</w:t>
      </w:r>
      <w:r>
        <w:rPr>
          <w:rFonts w:ascii="仿宋_GB2312" w:eastAsia="仿宋_GB2312" w:hint="eastAsia"/>
          <w:kern w:val="0"/>
          <w:sz w:val="32"/>
          <w:szCs w:val="32"/>
        </w:rPr>
        <w:t>家、保险业机构</w:t>
      </w:r>
      <w:r>
        <w:rPr>
          <w:rFonts w:ascii="仿宋_GB2312" w:eastAsia="仿宋_GB2312"/>
          <w:kern w:val="0"/>
          <w:sz w:val="32"/>
          <w:szCs w:val="32"/>
        </w:rPr>
        <w:t>13</w:t>
      </w:r>
      <w:r>
        <w:rPr>
          <w:rFonts w:ascii="仿宋_GB2312" w:eastAsia="仿宋_GB2312" w:hint="eastAsia"/>
          <w:kern w:val="0"/>
          <w:sz w:val="32"/>
          <w:szCs w:val="32"/>
        </w:rPr>
        <w:t>家</w:t>
      </w:r>
      <w:r>
        <w:rPr>
          <w:rFonts w:ascii="仿宋_GB2312" w:eastAsia="仿宋_GB2312" w:hAnsi="Times New Roman" w:hint="eastAsia"/>
          <w:bCs/>
          <w:color w:val="000000"/>
          <w:sz w:val="32"/>
          <w:szCs w:val="32"/>
        </w:rPr>
        <w:t>（营销服务部）</w:t>
      </w:r>
      <w:r>
        <w:rPr>
          <w:rFonts w:ascii="仿宋_GB2312" w:eastAsia="仿宋_GB2312" w:hint="eastAsia"/>
          <w:kern w:val="0"/>
          <w:sz w:val="32"/>
          <w:szCs w:val="32"/>
        </w:rPr>
        <w:t>、证券业机构</w:t>
      </w:r>
      <w:r>
        <w:rPr>
          <w:rFonts w:ascii="仿宋_GB2312" w:eastAsia="仿宋_GB2312"/>
          <w:kern w:val="0"/>
          <w:sz w:val="32"/>
          <w:szCs w:val="32"/>
        </w:rPr>
        <w:t>3</w:t>
      </w:r>
      <w:r>
        <w:rPr>
          <w:rFonts w:ascii="仿宋_GB2312" w:eastAsia="仿宋_GB2312" w:hint="eastAsia"/>
          <w:kern w:val="0"/>
          <w:sz w:val="32"/>
          <w:szCs w:val="32"/>
        </w:rPr>
        <w:t>家。</w:t>
      </w:r>
      <w:r w:rsidRPr="007E6CB9">
        <w:rPr>
          <w:rFonts w:ascii="仿宋_GB2312" w:eastAsia="仿宋_GB2312" w:hint="eastAsia"/>
          <w:kern w:val="0"/>
          <w:sz w:val="32"/>
          <w:szCs w:val="32"/>
        </w:rPr>
        <w:t>浙江省</w:t>
      </w:r>
      <w:r w:rsidRPr="00B72D25">
        <w:rPr>
          <w:rFonts w:ascii="仿宋_GB2312" w:eastAsia="仿宋_GB2312" w:hint="eastAsia"/>
          <w:kern w:val="0"/>
          <w:sz w:val="32"/>
          <w:szCs w:val="32"/>
        </w:rPr>
        <w:t>金融创新示范县建设逐步推进，在全市成立首家</w:t>
      </w:r>
      <w:r>
        <w:rPr>
          <w:rFonts w:ascii="仿宋_GB2312" w:eastAsia="仿宋_GB2312" w:hint="eastAsia"/>
          <w:kern w:val="0"/>
          <w:sz w:val="32"/>
          <w:szCs w:val="32"/>
        </w:rPr>
        <w:t>民间融资服务中心、</w:t>
      </w:r>
      <w:r w:rsidRPr="00B72D25">
        <w:rPr>
          <w:rFonts w:ascii="仿宋_GB2312" w:eastAsia="仿宋_GB2312" w:hint="eastAsia"/>
          <w:kern w:val="0"/>
          <w:sz w:val="32"/>
          <w:szCs w:val="32"/>
        </w:rPr>
        <w:t>在全市成立了首个财富管理中心</w:t>
      </w:r>
      <w:r>
        <w:rPr>
          <w:rFonts w:ascii="仿宋_GB2312" w:eastAsia="仿宋_GB2312" w:hint="eastAsia"/>
          <w:kern w:val="0"/>
          <w:sz w:val="32"/>
          <w:szCs w:val="32"/>
        </w:rPr>
        <w:t>、引进了东方资产管理公司旗下互联网金融平台。</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kern w:val="2"/>
          <w:sz w:val="32"/>
          <w:szCs w:val="32"/>
        </w:rPr>
        <w:t>金融地位更加突出。</w:t>
      </w:r>
      <w:r>
        <w:rPr>
          <w:rFonts w:ascii="仿宋_GB2312" w:eastAsia="仿宋_GB2312" w:hint="eastAsia"/>
          <w:sz w:val="32"/>
          <w:szCs w:val="32"/>
        </w:rPr>
        <w:t>金融产业</w:t>
      </w:r>
      <w:r>
        <w:rPr>
          <w:rFonts w:ascii="仿宋_GB2312" w:eastAsia="仿宋_GB2312" w:hAnsi="仿宋_GB2312" w:cs="仿宋_GB2312" w:hint="eastAsia"/>
          <w:color w:val="333333"/>
          <w:sz w:val="32"/>
          <w:szCs w:val="32"/>
        </w:rPr>
        <w:t>呈现良好的发展态势，</w:t>
      </w:r>
      <w:r>
        <w:rPr>
          <w:rFonts w:ascii="仿宋_GB2312" w:eastAsia="仿宋_GB2312" w:hAnsi="仿宋_GB2312" w:cs="仿宋_GB2312" w:hint="eastAsia"/>
          <w:sz w:val="32"/>
          <w:szCs w:val="32"/>
        </w:rPr>
        <w:t>金融业对第三产业发展的贡献仅次于批发和零售业。</w:t>
      </w:r>
      <w:r>
        <w:rPr>
          <w:rFonts w:ascii="仿宋_GB2312" w:eastAsia="仿宋_GB2312" w:hint="eastAsia"/>
          <w:sz w:val="32"/>
          <w:szCs w:val="32"/>
        </w:rPr>
        <w:t>“十二五”期末，金融业增加值</w:t>
      </w:r>
      <w:r>
        <w:rPr>
          <w:rFonts w:ascii="仿宋_GB2312" w:eastAsia="仿宋_GB2312"/>
          <w:sz w:val="32"/>
          <w:szCs w:val="32"/>
        </w:rPr>
        <w:t>13.18</w:t>
      </w:r>
      <w:r>
        <w:rPr>
          <w:rFonts w:ascii="仿宋_GB2312" w:eastAsia="仿宋_GB2312" w:hint="eastAsia"/>
          <w:sz w:val="32"/>
          <w:szCs w:val="32"/>
        </w:rPr>
        <w:t>亿元，是</w:t>
      </w:r>
      <w:r>
        <w:rPr>
          <w:rFonts w:ascii="仿宋_GB2312" w:eastAsia="仿宋_GB2312"/>
          <w:sz w:val="32"/>
          <w:szCs w:val="32"/>
        </w:rPr>
        <w:t>2010</w:t>
      </w:r>
      <w:r>
        <w:rPr>
          <w:rFonts w:ascii="仿宋_GB2312" w:eastAsia="仿宋_GB2312" w:hint="eastAsia"/>
          <w:sz w:val="32"/>
          <w:szCs w:val="32"/>
        </w:rPr>
        <w:t>年的</w:t>
      </w:r>
      <w:r>
        <w:rPr>
          <w:rFonts w:ascii="仿宋_GB2312" w:eastAsia="仿宋_GB2312"/>
          <w:sz w:val="32"/>
          <w:szCs w:val="32"/>
        </w:rPr>
        <w:t>1.65</w:t>
      </w:r>
      <w:r>
        <w:rPr>
          <w:rFonts w:ascii="仿宋_GB2312" w:eastAsia="仿宋_GB2312" w:hint="eastAsia"/>
          <w:sz w:val="32"/>
          <w:szCs w:val="32"/>
        </w:rPr>
        <w:t>陪，年均增长</w:t>
      </w:r>
      <w:r>
        <w:rPr>
          <w:rFonts w:ascii="仿宋_GB2312" w:eastAsia="仿宋_GB2312"/>
          <w:sz w:val="32"/>
          <w:szCs w:val="32"/>
        </w:rPr>
        <w:t>10.50%</w:t>
      </w:r>
      <w:r>
        <w:rPr>
          <w:rFonts w:ascii="仿宋_GB2312" w:eastAsia="仿宋_GB2312" w:hint="eastAsia"/>
          <w:sz w:val="32"/>
          <w:szCs w:val="32"/>
        </w:rPr>
        <w:t>。金融业增加值占</w:t>
      </w:r>
      <w:r>
        <w:rPr>
          <w:rFonts w:ascii="仿宋_GB2312" w:eastAsia="仿宋_GB2312"/>
          <w:sz w:val="32"/>
          <w:szCs w:val="32"/>
        </w:rPr>
        <w:t>GDP</w:t>
      </w:r>
      <w:r>
        <w:rPr>
          <w:rFonts w:ascii="仿宋_GB2312" w:eastAsia="仿宋_GB2312" w:hint="eastAsia"/>
          <w:sz w:val="32"/>
          <w:szCs w:val="32"/>
        </w:rPr>
        <w:t>的比例</w:t>
      </w:r>
      <w:r>
        <w:rPr>
          <w:rFonts w:ascii="仿宋_GB2312" w:eastAsia="仿宋_GB2312"/>
          <w:sz w:val="32"/>
          <w:szCs w:val="32"/>
        </w:rPr>
        <w:t>6.85%</w:t>
      </w:r>
      <w:r>
        <w:rPr>
          <w:rFonts w:ascii="仿宋_GB2312" w:eastAsia="仿宋_GB2312" w:hint="eastAsia"/>
          <w:sz w:val="32"/>
          <w:szCs w:val="32"/>
        </w:rPr>
        <w:t>，占第三产业增加值的比例</w:t>
      </w:r>
      <w:r>
        <w:rPr>
          <w:rFonts w:ascii="仿宋_GB2312" w:eastAsia="仿宋_GB2312"/>
          <w:sz w:val="32"/>
          <w:szCs w:val="32"/>
        </w:rPr>
        <w:t>17.61%</w:t>
      </w:r>
      <w:r>
        <w:rPr>
          <w:rFonts w:ascii="仿宋_GB2312" w:eastAsia="仿宋_GB2312" w:hint="eastAsia"/>
          <w:sz w:val="32"/>
          <w:szCs w:val="32"/>
        </w:rPr>
        <w:t>。“十二五”期末，金融业就业人数</w:t>
      </w:r>
      <w:r>
        <w:rPr>
          <w:rFonts w:ascii="仿宋_GB2312" w:eastAsia="仿宋_GB2312"/>
          <w:sz w:val="32"/>
          <w:szCs w:val="32"/>
        </w:rPr>
        <w:t>1345</w:t>
      </w:r>
      <w:r>
        <w:rPr>
          <w:rFonts w:ascii="仿宋_GB2312" w:eastAsia="仿宋_GB2312" w:hint="eastAsia"/>
          <w:sz w:val="32"/>
          <w:szCs w:val="32"/>
        </w:rPr>
        <w:t>人，年均增长</w:t>
      </w:r>
      <w:r>
        <w:rPr>
          <w:rFonts w:ascii="仿宋_GB2312" w:eastAsia="仿宋_GB2312"/>
          <w:sz w:val="32"/>
          <w:szCs w:val="32"/>
        </w:rPr>
        <w:t>4.19%</w:t>
      </w:r>
      <w:r>
        <w:rPr>
          <w:rFonts w:ascii="仿宋_GB2312" w:eastAsia="仿宋_GB2312" w:hint="eastAsia"/>
          <w:sz w:val="32"/>
          <w:szCs w:val="32"/>
        </w:rPr>
        <w:t>。</w:t>
      </w:r>
    </w:p>
    <w:p w:rsidR="009E0124" w:rsidRDefault="009E0124" w:rsidP="00255870">
      <w:pPr>
        <w:spacing w:line="560" w:lineRule="exact"/>
        <w:ind w:firstLineChars="200" w:firstLine="31680"/>
        <w:rPr>
          <w:rFonts w:ascii="仿宋_GB2312" w:eastAsia="仿宋_GB2312"/>
          <w:kern w:val="0"/>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金融改革逐步深化。</w:t>
      </w:r>
      <w:r>
        <w:rPr>
          <w:rFonts w:ascii="仿宋_GB2312" w:eastAsia="仿宋_GB2312" w:hint="eastAsia"/>
          <w:kern w:val="0"/>
          <w:sz w:val="32"/>
          <w:szCs w:val="32"/>
        </w:rPr>
        <w:t>农村金融改革不断深化，农村信用社完成了股份制改革。我县被列入全国农民住房财产权抵押贷款试点。“十二五”期末，林权、农房及土地流转抵押贷款余额合计</w:t>
      </w:r>
      <w:r>
        <w:rPr>
          <w:rFonts w:ascii="仿宋_GB2312" w:eastAsia="仿宋_GB2312"/>
          <w:kern w:val="0"/>
          <w:sz w:val="32"/>
          <w:szCs w:val="32"/>
        </w:rPr>
        <w:t>12.18</w:t>
      </w:r>
      <w:r>
        <w:rPr>
          <w:rFonts w:ascii="仿宋_GB2312" w:eastAsia="仿宋_GB2312" w:hint="eastAsia"/>
          <w:kern w:val="0"/>
          <w:sz w:val="32"/>
          <w:szCs w:val="32"/>
        </w:rPr>
        <w:t>亿元，年均增长</w:t>
      </w:r>
      <w:r>
        <w:rPr>
          <w:rFonts w:ascii="仿宋_GB2312" w:eastAsia="仿宋_GB2312"/>
          <w:kern w:val="0"/>
          <w:sz w:val="32"/>
          <w:szCs w:val="32"/>
        </w:rPr>
        <w:t>18.74%</w:t>
      </w:r>
      <w:r>
        <w:rPr>
          <w:rFonts w:ascii="仿宋_GB2312" w:eastAsia="仿宋_GB2312" w:hint="eastAsia"/>
          <w:kern w:val="0"/>
          <w:sz w:val="32"/>
          <w:szCs w:val="32"/>
        </w:rPr>
        <w:t>。金融基础设施进一步完善，“十二五”期末，建立农村金融服务站</w:t>
      </w:r>
      <w:r>
        <w:rPr>
          <w:rFonts w:ascii="仿宋_GB2312" w:eastAsia="仿宋_GB2312"/>
          <w:kern w:val="0"/>
          <w:sz w:val="32"/>
          <w:szCs w:val="32"/>
        </w:rPr>
        <w:t>294</w:t>
      </w:r>
      <w:r>
        <w:rPr>
          <w:rFonts w:ascii="仿宋_GB2312" w:eastAsia="仿宋_GB2312" w:hint="eastAsia"/>
          <w:kern w:val="0"/>
          <w:sz w:val="32"/>
          <w:szCs w:val="32"/>
        </w:rPr>
        <w:t>个、</w:t>
      </w:r>
      <w:r>
        <w:rPr>
          <w:rFonts w:ascii="仿宋_GB2312" w:eastAsia="仿宋_GB2312" w:hAnsi="仿宋_GB2312" w:cs="仿宋_GB2312" w:hint="eastAsia"/>
          <w:kern w:val="0"/>
          <w:sz w:val="32"/>
          <w:szCs w:val="32"/>
        </w:rPr>
        <w:t>村级担保组织</w:t>
      </w:r>
      <w:r>
        <w:rPr>
          <w:rFonts w:ascii="仿宋_GB2312" w:eastAsia="仿宋_GB2312"/>
          <w:kern w:val="0"/>
          <w:sz w:val="32"/>
          <w:szCs w:val="32"/>
        </w:rPr>
        <w:t>4</w:t>
      </w:r>
      <w:r>
        <w:rPr>
          <w:rFonts w:ascii="仿宋_GB2312" w:eastAsia="仿宋_GB2312" w:hAnsi="仿宋_GB2312" w:cs="仿宋_GB2312" w:hint="eastAsia"/>
          <w:kern w:val="0"/>
          <w:sz w:val="32"/>
          <w:szCs w:val="32"/>
        </w:rPr>
        <w:t>个</w:t>
      </w:r>
      <w:r>
        <w:rPr>
          <w:rFonts w:ascii="仿宋_GB2312" w:eastAsia="仿宋_GB2312" w:hint="eastAsia"/>
          <w:kern w:val="0"/>
          <w:sz w:val="32"/>
          <w:szCs w:val="32"/>
        </w:rPr>
        <w:t>。外汇体制改革逐步推进，在全国率先推出个人外汇贷款业务，设立“特许、代理”多种类本外币兑换机构</w:t>
      </w:r>
      <w:r>
        <w:rPr>
          <w:rFonts w:ascii="仿宋_GB2312" w:eastAsia="仿宋_GB2312"/>
          <w:kern w:val="0"/>
          <w:sz w:val="32"/>
          <w:szCs w:val="32"/>
        </w:rPr>
        <w:t>10</w:t>
      </w:r>
      <w:r>
        <w:rPr>
          <w:rFonts w:ascii="仿宋_GB2312" w:eastAsia="仿宋_GB2312" w:hint="eastAsia"/>
          <w:kern w:val="0"/>
          <w:sz w:val="32"/>
          <w:szCs w:val="32"/>
        </w:rPr>
        <w:t>个。社会信用体系建设取得新成效，累计为</w:t>
      </w:r>
      <w:r>
        <w:rPr>
          <w:rFonts w:ascii="仿宋_GB2312" w:eastAsia="仿宋_GB2312"/>
          <w:kern w:val="0"/>
          <w:sz w:val="32"/>
          <w:szCs w:val="32"/>
        </w:rPr>
        <w:t>5.25</w:t>
      </w:r>
      <w:r>
        <w:rPr>
          <w:rFonts w:ascii="仿宋_GB2312" w:eastAsia="仿宋_GB2312" w:hint="eastAsia"/>
          <w:kern w:val="0"/>
          <w:sz w:val="32"/>
          <w:szCs w:val="32"/>
        </w:rPr>
        <w:t>万户农户建立了电子信用档案，农村信用信息数据库正式上线运行；已评定信用村（社区）</w:t>
      </w:r>
      <w:r>
        <w:rPr>
          <w:rFonts w:ascii="仿宋_GB2312" w:eastAsia="仿宋_GB2312"/>
          <w:kern w:val="0"/>
          <w:sz w:val="32"/>
          <w:szCs w:val="32"/>
        </w:rPr>
        <w:t>92</w:t>
      </w:r>
      <w:r>
        <w:rPr>
          <w:rFonts w:ascii="仿宋_GB2312" w:eastAsia="仿宋_GB2312" w:hint="eastAsia"/>
          <w:kern w:val="0"/>
          <w:sz w:val="32"/>
          <w:szCs w:val="32"/>
        </w:rPr>
        <w:t>个，信用镇</w:t>
      </w:r>
      <w:r>
        <w:rPr>
          <w:rFonts w:ascii="仿宋_GB2312" w:eastAsia="仿宋_GB2312"/>
          <w:kern w:val="0"/>
          <w:sz w:val="32"/>
          <w:szCs w:val="32"/>
        </w:rPr>
        <w:t>2</w:t>
      </w:r>
      <w:r>
        <w:rPr>
          <w:rFonts w:ascii="仿宋_GB2312" w:eastAsia="仿宋_GB2312" w:hint="eastAsia"/>
          <w:kern w:val="0"/>
          <w:sz w:val="32"/>
          <w:szCs w:val="32"/>
        </w:rPr>
        <w:t>个。</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sz w:val="32"/>
          <w:szCs w:val="32"/>
        </w:rPr>
        <w:t>“十二五”时期，青田金融业取得了多方面的发展成果，但受体制、机制等综合因素的制约，仍存在一些不容忽视的问题：</w:t>
      </w:r>
      <w:r w:rsidRPr="00D14727">
        <w:rPr>
          <w:rFonts w:ascii="仿宋_GB2312" w:eastAsia="仿宋_GB2312" w:hint="eastAsia"/>
          <w:b/>
          <w:sz w:val="32"/>
          <w:szCs w:val="32"/>
        </w:rPr>
        <w:t>一是</w:t>
      </w:r>
      <w:r>
        <w:rPr>
          <w:rFonts w:ascii="仿宋_GB2312" w:eastAsia="仿宋_GB2312" w:hAnsi="仿宋_GB2312" w:cs="仿宋_GB2312" w:hint="eastAsia"/>
          <w:kern w:val="2"/>
          <w:sz w:val="32"/>
          <w:szCs w:val="32"/>
        </w:rPr>
        <w:t>发展方式较落后</w:t>
      </w:r>
      <w:r>
        <w:rPr>
          <w:rFonts w:ascii="仿宋_GB2312" w:eastAsia="仿宋_GB2312" w:hAnsi="仿宋_GB2312" w:cs="仿宋_GB2312" w:hint="eastAsia"/>
          <w:b/>
          <w:bCs/>
          <w:kern w:val="2"/>
          <w:sz w:val="32"/>
          <w:szCs w:val="32"/>
        </w:rPr>
        <w:t>。</w:t>
      </w:r>
      <w:r>
        <w:rPr>
          <w:rFonts w:ascii="仿宋_GB2312" w:eastAsia="仿宋_GB2312" w:hint="eastAsia"/>
          <w:sz w:val="32"/>
          <w:szCs w:val="32"/>
        </w:rPr>
        <w:t>以</w:t>
      </w:r>
      <w:r>
        <w:rPr>
          <w:rFonts w:ascii="仿宋_GB2312" w:eastAsia="仿宋_GB2312" w:hAnsi="仿宋_GB2312" w:cs="仿宋_GB2312" w:hint="eastAsia"/>
          <w:kern w:val="2"/>
          <w:sz w:val="32"/>
          <w:szCs w:val="32"/>
        </w:rPr>
        <w:t>规模扩张、</w:t>
      </w:r>
      <w:r>
        <w:rPr>
          <w:rFonts w:ascii="仿宋_GB2312" w:eastAsia="仿宋_GB2312" w:hAnsi="仿宋_GB2312" w:cs="仿宋_GB2312" w:hint="eastAsia"/>
          <w:sz w:val="32"/>
          <w:szCs w:val="32"/>
        </w:rPr>
        <w:t>存贷利差为理念的金融发展模式，已不能适应经济“新常态”需要。</w:t>
      </w:r>
      <w:r w:rsidRPr="00D14727">
        <w:rPr>
          <w:rFonts w:ascii="仿宋_GB2312" w:eastAsia="仿宋_GB2312" w:hAnsi="仿宋_GB2312" w:cs="仿宋_GB2312" w:hint="eastAsia"/>
          <w:b/>
          <w:sz w:val="32"/>
          <w:szCs w:val="32"/>
        </w:rPr>
        <w:t>二是</w:t>
      </w:r>
      <w:r>
        <w:rPr>
          <w:rFonts w:ascii="仿宋_GB2312" w:eastAsia="仿宋_GB2312" w:hAnsi="仿宋_GB2312" w:cs="仿宋_GB2312" w:hint="eastAsia"/>
          <w:kern w:val="2"/>
          <w:sz w:val="32"/>
          <w:szCs w:val="32"/>
        </w:rPr>
        <w:t>金融结构不平衡。</w:t>
      </w:r>
      <w:r>
        <w:rPr>
          <w:rFonts w:ascii="仿宋_GB2312" w:eastAsia="仿宋_GB2312" w:hint="eastAsia"/>
          <w:sz w:val="32"/>
          <w:szCs w:val="32"/>
        </w:rPr>
        <w:t>直接融资与间接融资比例失调；</w:t>
      </w:r>
      <w:r>
        <w:rPr>
          <w:rFonts w:ascii="仿宋_GB2312" w:eastAsia="仿宋_GB2312" w:hAnsi="宋体" w:hint="eastAsia"/>
          <w:sz w:val="32"/>
          <w:szCs w:val="32"/>
        </w:rPr>
        <w:t>城乡金融发展不同步；</w:t>
      </w:r>
      <w:r>
        <w:rPr>
          <w:rFonts w:ascii="仿宋_GB2312" w:eastAsia="仿宋_GB2312" w:hint="eastAsia"/>
          <w:sz w:val="32"/>
          <w:szCs w:val="32"/>
        </w:rPr>
        <w:t>证券、保险在金融总量中占比偏低，服务效率不高。</w:t>
      </w:r>
      <w:r w:rsidRPr="00D14727">
        <w:rPr>
          <w:rFonts w:ascii="仿宋_GB2312" w:eastAsia="仿宋_GB2312" w:hint="eastAsia"/>
          <w:b/>
          <w:sz w:val="32"/>
          <w:szCs w:val="32"/>
        </w:rPr>
        <w:t>三是</w:t>
      </w:r>
      <w:r>
        <w:rPr>
          <w:rFonts w:ascii="仿宋_GB2312" w:eastAsia="仿宋_GB2312" w:hAnsi="仿宋_GB2312" w:cs="仿宋_GB2312" w:hint="eastAsia"/>
          <w:kern w:val="2"/>
          <w:sz w:val="32"/>
          <w:szCs w:val="32"/>
        </w:rPr>
        <w:t>配套服务不完善。</w:t>
      </w:r>
      <w:r>
        <w:rPr>
          <w:rFonts w:ascii="仿宋_GB2312" w:eastAsia="仿宋_GB2312" w:hint="eastAsia"/>
          <w:sz w:val="32"/>
          <w:szCs w:val="32"/>
        </w:rPr>
        <w:t>金融服务平台发展缓慢，会计、法律、评估、评级、担保等中介服务机构体系有待完善，对中小企业及“三农”的金融服务支撑力度有待提高。</w:t>
      </w:r>
      <w:r w:rsidRPr="00D14727">
        <w:rPr>
          <w:rFonts w:ascii="仿宋_GB2312" w:eastAsia="仿宋_GB2312" w:hAnsi="仿宋_GB2312" w:cs="仿宋_GB2312" w:hint="eastAsia"/>
          <w:b/>
          <w:sz w:val="32"/>
          <w:szCs w:val="32"/>
        </w:rPr>
        <w:t>四是</w:t>
      </w:r>
      <w:r>
        <w:rPr>
          <w:rFonts w:ascii="仿宋_GB2312" w:eastAsia="仿宋_GB2312" w:hAnsi="仿宋_GB2312" w:cs="仿宋_GB2312" w:hint="eastAsia"/>
          <w:kern w:val="2"/>
          <w:sz w:val="32"/>
          <w:szCs w:val="32"/>
        </w:rPr>
        <w:t>后续发展制约多。</w:t>
      </w:r>
      <w:r>
        <w:rPr>
          <w:rFonts w:ascii="仿宋_GB2312" w:eastAsia="仿宋_GB2312" w:hint="eastAsia"/>
          <w:sz w:val="32"/>
          <w:szCs w:val="32"/>
        </w:rPr>
        <w:t>在经济“新常态”下，信贷增长及金融风险防控压力大。符合上市条件及债券发行条件的企业资源不足。企业资金链紧张与银行业务开拓难现象并存。</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hAnsi="仿宋_GB2312" w:cs="仿宋_GB2312"/>
          <w:b/>
          <w:color w:val="333333"/>
          <w:sz w:val="32"/>
          <w:szCs w:val="32"/>
        </w:rPr>
      </w:pPr>
      <w:r>
        <w:rPr>
          <w:rFonts w:ascii="仿宋_GB2312" w:eastAsia="仿宋_GB2312" w:hAnsi="仿宋_GB2312" w:cs="仿宋_GB2312" w:hint="eastAsia"/>
          <w:b/>
          <w:color w:val="333333"/>
          <w:sz w:val="32"/>
          <w:szCs w:val="32"/>
        </w:rPr>
        <w:t>二、金融发展环境</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sz w:val="32"/>
          <w:szCs w:val="32"/>
        </w:rPr>
        <w:t>从国际环境看，“十三五”时期，全球经济仍然处于金融危机后的爬坡期，仍面临巨大的生产能力与消费需求的结构性失衡问题。同时，以人工智能为代表的新科技革命和以新材料、新能源等为代表的第四次工业革命正在全球兴起，孕育新的发展机遇，并引发全球供给和需求结构的新变化。</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sz w:val="32"/>
          <w:szCs w:val="32"/>
        </w:rPr>
        <w:t>从国内环境看，“十三五”时期，随着国家“新四化”的同步推进，将有效地释放国内需求，拓展新的巨大市场空间，我国经济有望继续保持平稳健康发展。同时，随着互联网、云技术</w:t>
      </w:r>
      <w:r w:rsidRPr="00F31000">
        <w:rPr>
          <w:rFonts w:ascii="仿宋_GB2312" w:eastAsia="仿宋_GB2312" w:hint="eastAsia"/>
          <w:sz w:val="32"/>
          <w:szCs w:val="32"/>
        </w:rPr>
        <w:t>在金融业的深入应用，</w:t>
      </w:r>
      <w:r>
        <w:rPr>
          <w:rFonts w:ascii="仿宋_GB2312" w:eastAsia="仿宋_GB2312" w:hint="eastAsia"/>
          <w:sz w:val="32"/>
          <w:szCs w:val="32"/>
        </w:rPr>
        <w:t>新型金融业态不断涌现，</w:t>
      </w:r>
      <w:r w:rsidRPr="00F31000">
        <w:rPr>
          <w:rFonts w:ascii="仿宋_GB2312" w:eastAsia="仿宋_GB2312" w:hint="eastAsia"/>
          <w:sz w:val="32"/>
          <w:szCs w:val="32"/>
        </w:rPr>
        <w:t>金</w:t>
      </w:r>
      <w:r>
        <w:rPr>
          <w:rFonts w:ascii="仿宋_GB2312" w:eastAsia="仿宋_GB2312" w:hint="eastAsia"/>
          <w:sz w:val="32"/>
          <w:szCs w:val="32"/>
        </w:rPr>
        <w:t>融业将进入全面转型发展和体制改革不断深化的新阶段。</w:t>
      </w:r>
    </w:p>
    <w:p w:rsidR="009E0124" w:rsidRPr="0053125F" w:rsidRDefault="009E0124" w:rsidP="00255870">
      <w:pPr>
        <w:spacing w:line="560" w:lineRule="exact"/>
        <w:ind w:firstLineChars="200" w:firstLine="31680"/>
        <w:rPr>
          <w:rFonts w:ascii="仿宋_GB2312" w:eastAsia="仿宋_GB2312"/>
          <w:kern w:val="0"/>
          <w:sz w:val="32"/>
          <w:szCs w:val="32"/>
        </w:rPr>
      </w:pPr>
      <w:r w:rsidRPr="0053125F">
        <w:rPr>
          <w:rFonts w:ascii="仿宋_GB2312" w:eastAsia="仿宋_GB2312" w:hint="eastAsia"/>
          <w:kern w:val="0"/>
          <w:sz w:val="32"/>
          <w:szCs w:val="32"/>
        </w:rPr>
        <w:t>从区域环境看，青田具备金融业发展和转型的有利条件。</w:t>
      </w:r>
      <w:r w:rsidRPr="0081568A">
        <w:rPr>
          <w:rFonts w:ascii="仿宋_GB2312" w:eastAsia="仿宋_GB2312" w:hint="eastAsia"/>
          <w:b/>
          <w:kern w:val="0"/>
          <w:sz w:val="32"/>
          <w:szCs w:val="32"/>
        </w:rPr>
        <w:t>一是</w:t>
      </w:r>
      <w:r w:rsidRPr="0053125F">
        <w:rPr>
          <w:rFonts w:ascii="仿宋_GB2312" w:eastAsia="仿宋_GB2312" w:hint="eastAsia"/>
          <w:kern w:val="0"/>
          <w:sz w:val="32"/>
          <w:szCs w:val="32"/>
        </w:rPr>
        <w:t>经济基础坚实。“十二五”期末，全县实现生产总值</w:t>
      </w:r>
      <w:r w:rsidRPr="0053125F">
        <w:rPr>
          <w:rFonts w:ascii="仿宋_GB2312" w:eastAsia="仿宋_GB2312"/>
          <w:kern w:val="0"/>
          <w:sz w:val="32"/>
          <w:szCs w:val="32"/>
        </w:rPr>
        <w:t>192.6</w:t>
      </w:r>
      <w:r>
        <w:rPr>
          <w:rFonts w:ascii="仿宋_GB2312" w:eastAsia="仿宋_GB2312"/>
          <w:kern w:val="0"/>
          <w:sz w:val="32"/>
          <w:szCs w:val="32"/>
        </w:rPr>
        <w:t>0</w:t>
      </w:r>
      <w:r w:rsidRPr="0053125F">
        <w:rPr>
          <w:rFonts w:ascii="仿宋_GB2312" w:eastAsia="仿宋_GB2312" w:hint="eastAsia"/>
          <w:kern w:val="0"/>
          <w:sz w:val="32"/>
          <w:szCs w:val="32"/>
        </w:rPr>
        <w:t>亿元，增长</w:t>
      </w:r>
      <w:r w:rsidRPr="0053125F">
        <w:rPr>
          <w:rFonts w:ascii="仿宋_GB2312" w:eastAsia="仿宋_GB2312"/>
          <w:kern w:val="0"/>
          <w:sz w:val="32"/>
          <w:szCs w:val="32"/>
        </w:rPr>
        <w:t>8.2</w:t>
      </w:r>
      <w:r>
        <w:rPr>
          <w:rFonts w:ascii="仿宋_GB2312" w:eastAsia="仿宋_GB2312"/>
          <w:kern w:val="0"/>
          <w:sz w:val="32"/>
          <w:szCs w:val="32"/>
        </w:rPr>
        <w:t>0</w:t>
      </w:r>
      <w:r w:rsidRPr="0053125F">
        <w:rPr>
          <w:rFonts w:ascii="仿宋_GB2312" w:eastAsia="仿宋_GB2312"/>
          <w:kern w:val="0"/>
          <w:sz w:val="32"/>
          <w:szCs w:val="32"/>
        </w:rPr>
        <w:t>%</w:t>
      </w:r>
      <w:r w:rsidRPr="0053125F">
        <w:rPr>
          <w:rFonts w:ascii="仿宋_GB2312" w:eastAsia="仿宋_GB2312" w:hint="eastAsia"/>
          <w:kern w:val="0"/>
          <w:sz w:val="32"/>
          <w:szCs w:val="32"/>
        </w:rPr>
        <w:t>，总量位列全市各县（市、区）第二。农村常住居民人均可支配收入</w:t>
      </w:r>
      <w:r w:rsidRPr="0053125F">
        <w:rPr>
          <w:rFonts w:ascii="仿宋_GB2312" w:eastAsia="仿宋_GB2312"/>
          <w:kern w:val="0"/>
          <w:sz w:val="32"/>
          <w:szCs w:val="32"/>
        </w:rPr>
        <w:t>17103</w:t>
      </w:r>
      <w:r w:rsidRPr="0053125F">
        <w:rPr>
          <w:rFonts w:ascii="仿宋_GB2312" w:eastAsia="仿宋_GB2312" w:hint="eastAsia"/>
          <w:kern w:val="0"/>
          <w:sz w:val="32"/>
          <w:szCs w:val="32"/>
        </w:rPr>
        <w:t>元，增长</w:t>
      </w:r>
      <w:r w:rsidRPr="0053125F">
        <w:rPr>
          <w:rFonts w:ascii="仿宋_GB2312" w:eastAsia="仿宋_GB2312"/>
          <w:kern w:val="0"/>
          <w:sz w:val="32"/>
          <w:szCs w:val="32"/>
        </w:rPr>
        <w:t>10.0</w:t>
      </w:r>
      <w:r>
        <w:rPr>
          <w:rFonts w:ascii="仿宋_GB2312" w:eastAsia="仿宋_GB2312"/>
          <w:kern w:val="0"/>
          <w:sz w:val="32"/>
          <w:szCs w:val="32"/>
        </w:rPr>
        <w:t>0</w:t>
      </w:r>
      <w:r w:rsidRPr="0053125F">
        <w:rPr>
          <w:rFonts w:ascii="仿宋_GB2312" w:eastAsia="仿宋_GB2312"/>
          <w:kern w:val="0"/>
          <w:sz w:val="32"/>
          <w:szCs w:val="32"/>
        </w:rPr>
        <w:t>%</w:t>
      </w:r>
      <w:r w:rsidRPr="0053125F">
        <w:rPr>
          <w:rFonts w:ascii="仿宋_GB2312" w:eastAsia="仿宋_GB2312" w:hint="eastAsia"/>
          <w:kern w:val="0"/>
          <w:sz w:val="32"/>
          <w:szCs w:val="32"/>
        </w:rPr>
        <w:t>，城镇常住居民人均可支配收入</w:t>
      </w:r>
      <w:r w:rsidRPr="0053125F">
        <w:rPr>
          <w:rFonts w:ascii="仿宋_GB2312" w:eastAsia="仿宋_GB2312"/>
          <w:kern w:val="0"/>
          <w:sz w:val="32"/>
          <w:szCs w:val="32"/>
        </w:rPr>
        <w:t>33787</w:t>
      </w:r>
      <w:r w:rsidRPr="0053125F">
        <w:rPr>
          <w:rFonts w:ascii="仿宋_GB2312" w:eastAsia="仿宋_GB2312" w:hint="eastAsia"/>
          <w:kern w:val="0"/>
          <w:sz w:val="32"/>
          <w:szCs w:val="32"/>
        </w:rPr>
        <w:t>元，增长</w:t>
      </w:r>
      <w:r w:rsidRPr="0053125F">
        <w:rPr>
          <w:rFonts w:ascii="仿宋_GB2312" w:eastAsia="仿宋_GB2312"/>
          <w:kern w:val="0"/>
          <w:sz w:val="32"/>
          <w:szCs w:val="32"/>
        </w:rPr>
        <w:t>8.1</w:t>
      </w:r>
      <w:r>
        <w:rPr>
          <w:rFonts w:ascii="仿宋_GB2312" w:eastAsia="仿宋_GB2312"/>
          <w:kern w:val="0"/>
          <w:sz w:val="32"/>
          <w:szCs w:val="32"/>
        </w:rPr>
        <w:t>0</w:t>
      </w:r>
      <w:r w:rsidRPr="0053125F">
        <w:rPr>
          <w:rFonts w:ascii="仿宋_GB2312" w:eastAsia="仿宋_GB2312"/>
          <w:kern w:val="0"/>
          <w:sz w:val="32"/>
          <w:szCs w:val="32"/>
        </w:rPr>
        <w:t>%</w:t>
      </w:r>
      <w:r w:rsidRPr="0053125F">
        <w:rPr>
          <w:rFonts w:ascii="仿宋_GB2312" w:eastAsia="仿宋_GB2312" w:hint="eastAsia"/>
          <w:kern w:val="0"/>
          <w:sz w:val="32"/>
          <w:szCs w:val="32"/>
        </w:rPr>
        <w:t>。</w:t>
      </w:r>
      <w:r w:rsidRPr="0081568A">
        <w:rPr>
          <w:rFonts w:ascii="仿宋_GB2312" w:eastAsia="仿宋_GB2312" w:hint="eastAsia"/>
          <w:b/>
          <w:kern w:val="0"/>
          <w:sz w:val="32"/>
          <w:szCs w:val="32"/>
        </w:rPr>
        <w:t>二是</w:t>
      </w:r>
      <w:r w:rsidRPr="0053125F">
        <w:rPr>
          <w:rFonts w:ascii="仿宋_GB2312" w:eastAsia="仿宋_GB2312" w:hint="eastAsia"/>
          <w:kern w:val="0"/>
          <w:sz w:val="32"/>
          <w:szCs w:val="32"/>
        </w:rPr>
        <w:t>金融生态良好。青田作为国家级农房抵押贷款试点地区和省级金融创新示范县，金融政策红利将不断释放。政府层面将继续引导金融机构增加信贷投入，出台和兑现金融创新的扶持政策</w:t>
      </w:r>
      <w:r w:rsidRPr="0053125F">
        <w:rPr>
          <w:rFonts w:ascii="仿宋_GB2312" w:eastAsia="仿宋_GB2312"/>
          <w:kern w:val="0"/>
          <w:sz w:val="32"/>
          <w:szCs w:val="32"/>
        </w:rPr>
        <w:t>,</w:t>
      </w:r>
      <w:r w:rsidRPr="0053125F">
        <w:rPr>
          <w:rFonts w:ascii="仿宋_GB2312" w:eastAsia="仿宋_GB2312" w:hint="eastAsia"/>
          <w:kern w:val="0"/>
          <w:sz w:val="32"/>
          <w:szCs w:val="32"/>
        </w:rPr>
        <w:t>金融发展活力旺盛。同时，城乡一体化信用体系建设的进一步推进、信用信息沟通机制更加顺畅、信用惩戒制度更加完善，为金融业发展创造了良好的信用环境。</w:t>
      </w:r>
      <w:r w:rsidRPr="0081568A">
        <w:rPr>
          <w:rFonts w:ascii="仿宋_GB2312" w:eastAsia="仿宋_GB2312" w:hint="eastAsia"/>
          <w:b/>
          <w:kern w:val="0"/>
          <w:sz w:val="32"/>
          <w:szCs w:val="32"/>
        </w:rPr>
        <w:t>三是</w:t>
      </w:r>
      <w:r w:rsidRPr="0053125F">
        <w:rPr>
          <w:rFonts w:ascii="仿宋_GB2312" w:eastAsia="仿宋_GB2312" w:hint="eastAsia"/>
          <w:kern w:val="0"/>
          <w:sz w:val="32"/>
          <w:szCs w:val="32"/>
        </w:rPr>
        <w:t>侨汇资金丰裕。全县本外币储蓄存款余额</w:t>
      </w:r>
      <w:r w:rsidRPr="0053125F">
        <w:rPr>
          <w:rFonts w:ascii="仿宋_GB2312" w:eastAsia="仿宋_GB2312"/>
          <w:kern w:val="0"/>
          <w:sz w:val="32"/>
          <w:szCs w:val="32"/>
        </w:rPr>
        <w:t>497</w:t>
      </w:r>
      <w:r w:rsidRPr="0053125F">
        <w:rPr>
          <w:rFonts w:ascii="仿宋_GB2312" w:eastAsia="仿宋_GB2312" w:hint="eastAsia"/>
          <w:kern w:val="0"/>
          <w:sz w:val="32"/>
          <w:szCs w:val="32"/>
        </w:rPr>
        <w:t>亿元，按户籍人口人均本外币储蓄达</w:t>
      </w:r>
      <w:r w:rsidRPr="0053125F">
        <w:rPr>
          <w:rFonts w:ascii="仿宋_GB2312" w:eastAsia="仿宋_GB2312"/>
          <w:kern w:val="0"/>
          <w:sz w:val="32"/>
          <w:szCs w:val="32"/>
        </w:rPr>
        <w:t>9.11</w:t>
      </w:r>
      <w:r w:rsidRPr="0053125F">
        <w:rPr>
          <w:rFonts w:ascii="仿宋_GB2312" w:eastAsia="仿宋_GB2312" w:hint="eastAsia"/>
          <w:kern w:val="0"/>
          <w:sz w:val="32"/>
          <w:szCs w:val="32"/>
        </w:rPr>
        <w:t>万元</w:t>
      </w:r>
      <w:r>
        <w:rPr>
          <w:rFonts w:ascii="仿宋_GB2312" w:eastAsia="仿宋_GB2312" w:hint="eastAsia"/>
          <w:kern w:val="0"/>
          <w:sz w:val="32"/>
          <w:szCs w:val="32"/>
        </w:rPr>
        <w:t>，</w:t>
      </w:r>
      <w:r w:rsidRPr="0053125F">
        <w:rPr>
          <w:rFonts w:ascii="仿宋_GB2312" w:eastAsia="仿宋_GB2312" w:hint="eastAsia"/>
          <w:kern w:val="0"/>
          <w:sz w:val="32"/>
          <w:szCs w:val="32"/>
        </w:rPr>
        <w:t>为开展金融服务创新提供了有利条件。</w:t>
      </w:r>
      <w:r w:rsidRPr="0081568A">
        <w:rPr>
          <w:rFonts w:ascii="仿宋_GB2312" w:eastAsia="仿宋_GB2312" w:hint="eastAsia"/>
          <w:b/>
          <w:kern w:val="0"/>
          <w:sz w:val="32"/>
          <w:szCs w:val="32"/>
        </w:rPr>
        <w:t>四是</w:t>
      </w:r>
      <w:r w:rsidRPr="0053125F">
        <w:rPr>
          <w:rFonts w:ascii="仿宋_GB2312" w:eastAsia="仿宋_GB2312" w:hint="eastAsia"/>
          <w:kern w:val="0"/>
          <w:sz w:val="32"/>
          <w:szCs w:val="32"/>
        </w:rPr>
        <w:t>地理位置优越。青田位于丽水市东南部，毗邻温州，交通便利。在金融业长期发展过程中，青田实际上成为了西连丽水、东接温州的跨区域金融资源流动和配置中心。</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color w:val="0000FF"/>
          <w:sz w:val="32"/>
          <w:szCs w:val="32"/>
        </w:rPr>
      </w:pPr>
    </w:p>
    <w:p w:rsidR="009E0124" w:rsidRDefault="009E0124">
      <w:pPr>
        <w:pStyle w:val="NormalWeb"/>
        <w:shd w:val="clear" w:color="auto" w:fill="FFFFFF"/>
        <w:spacing w:beforeAutospacing="0" w:afterAutospacing="0" w:line="560" w:lineRule="exact"/>
        <w:jc w:val="center"/>
        <w:rPr>
          <w:rStyle w:val="Strong"/>
          <w:rFonts w:ascii="仿宋_GB2312" w:eastAsia="仿宋_GB2312" w:hAnsi="仿宋_GB2312" w:cs="仿宋_GB2312"/>
          <w:b/>
          <w:bCs/>
          <w:sz w:val="36"/>
          <w:szCs w:val="36"/>
        </w:rPr>
      </w:pPr>
      <w:r>
        <w:rPr>
          <w:rStyle w:val="Strong"/>
          <w:rFonts w:ascii="仿宋_GB2312" w:eastAsia="仿宋_GB2312" w:hAnsi="仿宋_GB2312" w:cs="仿宋_GB2312" w:hint="eastAsia"/>
          <w:b/>
          <w:bCs/>
          <w:sz w:val="36"/>
          <w:szCs w:val="36"/>
        </w:rPr>
        <w:t>第二章</w:t>
      </w:r>
      <w:r>
        <w:rPr>
          <w:rStyle w:val="Strong"/>
          <w:rFonts w:ascii="仿宋_GB2312" w:eastAsia="仿宋_GB2312" w:hAnsi="仿宋_GB2312" w:cs="仿宋_GB2312"/>
          <w:b/>
          <w:bCs/>
          <w:sz w:val="36"/>
          <w:szCs w:val="36"/>
        </w:rPr>
        <w:t xml:space="preserve">  </w:t>
      </w:r>
      <w:r>
        <w:rPr>
          <w:rStyle w:val="Strong"/>
          <w:rFonts w:ascii="仿宋_GB2312" w:eastAsia="仿宋_GB2312" w:hAnsi="仿宋_GB2312" w:cs="仿宋_GB2312" w:hint="eastAsia"/>
          <w:b/>
          <w:bCs/>
          <w:sz w:val="36"/>
          <w:szCs w:val="36"/>
        </w:rPr>
        <w:t>指导思想、基本原则和发展目标</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sz w:val="32"/>
          <w:szCs w:val="32"/>
        </w:rPr>
        <w:t>未来五年是金融业加快转型发展的重要战略机遇期。青田金融业将以“适应经济新常态、顺应金融改革创新趋势”为导向，力争通过“十三五”时期的努力，金融强县建设取得更大的成效。</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一、指导思想</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sz w:val="32"/>
          <w:szCs w:val="32"/>
        </w:rPr>
        <w:t>以党的十八大和十八届三中、四中、五中全会精神为指导，深入贯彻习近平总书记系列重要讲话精神，坚持创新、协调、绿色、开放、共享发展理念，牢固树立“大金融”发展观，主动适应经济发展“新常态”，</w:t>
      </w:r>
      <w:r w:rsidRPr="00F31000">
        <w:rPr>
          <w:rFonts w:ascii="仿宋_GB2312" w:eastAsia="仿宋_GB2312" w:hint="eastAsia"/>
          <w:sz w:val="32"/>
          <w:szCs w:val="32"/>
        </w:rPr>
        <w:t>以人民币国际化为契机，</w:t>
      </w:r>
      <w:r>
        <w:rPr>
          <w:rFonts w:ascii="仿宋_GB2312" w:eastAsia="仿宋_GB2312" w:hint="eastAsia"/>
          <w:sz w:val="32"/>
          <w:szCs w:val="32"/>
        </w:rPr>
        <w:t>以推进金融供给侧结构性改革为主线，创新驱动，不断扩大金融业对外开放力度，大力推进“两中心一平台”建设，提高金融可持续发展能力和服务实体经济能力，加快建设具有区域影响力的金融强县。</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23"/>
        </w:trPr>
        <w:tc>
          <w:tcPr>
            <w:tcW w:w="8472" w:type="dxa"/>
            <w:shd w:val="clear" w:color="auto" w:fill="00B050"/>
          </w:tcPr>
          <w:p w:rsidR="009E0124" w:rsidRDefault="009E0124" w:rsidP="009E0124">
            <w:pPr>
              <w:spacing w:line="560" w:lineRule="exac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1  </w:t>
            </w:r>
            <w:r>
              <w:rPr>
                <w:rFonts w:ascii="仿宋_GB2312" w:eastAsia="仿宋_GB2312" w:hAnsi="仿宋_GB2312" w:cs="仿宋_GB2312" w:hint="eastAsia"/>
                <w:b/>
                <w:bCs/>
                <w:kern w:val="0"/>
                <w:sz w:val="28"/>
                <w:szCs w:val="28"/>
              </w:rPr>
              <w:t>“两中心一平台”建设</w:t>
            </w:r>
          </w:p>
        </w:tc>
      </w:tr>
      <w:tr w:rsidR="009E0124">
        <w:trPr>
          <w:trHeight w:val="2054"/>
        </w:trPr>
        <w:tc>
          <w:tcPr>
            <w:tcW w:w="8472" w:type="dxa"/>
          </w:tcPr>
          <w:p w:rsidR="009E0124" w:rsidRDefault="009E0124" w:rsidP="009E0124">
            <w:pPr>
              <w:spacing w:line="240" w:lineRule="atLeast"/>
              <w:ind w:firstLineChars="200" w:firstLine="31680"/>
              <w:rPr>
                <w:rFonts w:ascii="仿宋_GB2312" w:eastAsia="仿宋_GB2312" w:hAnsi="仿宋" w:cs="仿宋"/>
              </w:rPr>
            </w:pPr>
            <w:r>
              <w:rPr>
                <w:rFonts w:ascii="仿宋_GB2312" w:eastAsia="仿宋_GB2312" w:hAnsi="仿宋" w:cs="仿宋" w:hint="eastAsia"/>
                <w:b/>
                <w:bCs/>
              </w:rPr>
              <w:t>总部经济金融服务中心：</w:t>
            </w:r>
            <w:r>
              <w:rPr>
                <w:rFonts w:ascii="仿宋_GB2312" w:eastAsia="仿宋_GB2312" w:hAnsi="仿宋" w:cs="仿宋" w:hint="eastAsia"/>
              </w:rPr>
              <w:t>以核心企业、总部企业为依托，加快发展“链式”金融，支持华侨总部经济发展。创建服务银企的青田金融信息网。</w:t>
            </w:r>
          </w:p>
          <w:p w:rsidR="009E0124" w:rsidRDefault="009E0124" w:rsidP="009E0124">
            <w:pPr>
              <w:spacing w:line="240" w:lineRule="atLeast"/>
              <w:ind w:firstLineChars="200" w:firstLine="31680"/>
              <w:rPr>
                <w:rFonts w:ascii="仿宋_GB2312" w:eastAsia="仿宋_GB2312" w:hAnsi="仿宋" w:cs="仿宋"/>
              </w:rPr>
            </w:pPr>
            <w:r>
              <w:rPr>
                <w:rFonts w:ascii="仿宋_GB2312" w:eastAsia="仿宋_GB2312" w:hAnsi="仿宋" w:cs="仿宋" w:hint="eastAsia"/>
                <w:b/>
                <w:bCs/>
              </w:rPr>
              <w:t>华侨理财金融服务中心：</w:t>
            </w:r>
            <w:r>
              <w:rPr>
                <w:rFonts w:ascii="仿宋_GB2312" w:eastAsia="仿宋_GB2312" w:hAnsi="仿宋" w:cs="仿宋" w:hint="eastAsia"/>
              </w:rPr>
              <w:t>建立一体化、专业化、综合化的专属理财服务机构，完善个人外汇买卖交易机制，推动个人委托理财市场发展。</w:t>
            </w:r>
            <w:r>
              <w:rPr>
                <w:rFonts w:ascii="仿宋_GB2312" w:eastAsia="仿宋_GB2312" w:hAnsi="仿宋" w:cs="仿宋"/>
              </w:rPr>
              <w:t xml:space="preserve"> </w:t>
            </w:r>
          </w:p>
          <w:p w:rsidR="009E0124" w:rsidRDefault="009E0124" w:rsidP="009E0124">
            <w:pPr>
              <w:spacing w:line="240" w:lineRule="atLeast"/>
              <w:ind w:firstLineChars="200" w:firstLine="31680"/>
              <w:rPr>
                <w:rFonts w:ascii="仿宋_GB2312" w:eastAsia="仿宋_GB2312" w:hAnsi="仿宋"/>
              </w:rPr>
            </w:pPr>
            <w:r>
              <w:rPr>
                <w:rFonts w:ascii="仿宋_GB2312" w:eastAsia="仿宋_GB2312" w:hAnsi="仿宋" w:cs="仿宋" w:hint="eastAsia"/>
                <w:b/>
                <w:bCs/>
              </w:rPr>
              <w:t>侨乡民间投融资运营平台：</w:t>
            </w:r>
            <w:r>
              <w:rPr>
                <w:rFonts w:ascii="仿宋_GB2312" w:eastAsia="仿宋_GB2312" w:hAnsi="仿宋" w:cs="仿宋" w:hint="eastAsia"/>
              </w:rPr>
              <w:t>壮大侨乡民间融资管理服务平台，推动线上、线下并行发展；支持发展各类投资基金，鼓励发展民间资本互助组织。</w:t>
            </w:r>
          </w:p>
        </w:tc>
      </w:tr>
    </w:tbl>
    <w:p w:rsidR="009E0124" w:rsidRDefault="009E0124">
      <w:pPr>
        <w:rPr>
          <w:b/>
          <w:bCs/>
          <w:sz w:val="32"/>
          <w:szCs w:val="32"/>
        </w:rPr>
      </w:pPr>
      <w:r>
        <w:rPr>
          <w:b/>
          <w:bCs/>
          <w:sz w:val="32"/>
          <w:szCs w:val="32"/>
        </w:rPr>
        <w:t xml:space="preserve">   </w:t>
      </w:r>
    </w:p>
    <w:p w:rsidR="009E0124" w:rsidRPr="002061D7" w:rsidRDefault="009E0124" w:rsidP="00255870">
      <w:pPr>
        <w:pStyle w:val="NormalWeb"/>
        <w:widowControl/>
        <w:spacing w:beforeAutospacing="0" w:afterAutospacing="0" w:line="560" w:lineRule="exact"/>
        <w:ind w:firstLineChars="200" w:firstLine="31680"/>
        <w:jc w:val="both"/>
        <w:rPr>
          <w:rFonts w:ascii="仿宋_GB2312" w:eastAsia="仿宋_GB2312" w:hAnsi="仿宋_GB2312" w:cs="仿宋_GB2312"/>
          <w:b/>
          <w:bCs/>
          <w:color w:val="333333"/>
          <w:sz w:val="32"/>
          <w:szCs w:val="32"/>
        </w:rPr>
      </w:pPr>
      <w:r w:rsidRPr="002061D7">
        <w:rPr>
          <w:rFonts w:ascii="仿宋_GB2312" w:eastAsia="仿宋_GB2312" w:hAnsi="仿宋_GB2312" w:cs="仿宋_GB2312"/>
          <w:b/>
          <w:bCs/>
          <w:color w:val="333333"/>
          <w:sz w:val="32"/>
          <w:szCs w:val="32"/>
        </w:rPr>
        <w:t xml:space="preserve"> </w:t>
      </w:r>
      <w:r w:rsidRPr="002061D7">
        <w:rPr>
          <w:rFonts w:ascii="仿宋_GB2312" w:eastAsia="仿宋_GB2312" w:hAnsi="仿宋_GB2312" w:cs="仿宋_GB2312" w:hint="eastAsia"/>
          <w:b/>
          <w:bCs/>
          <w:color w:val="333333"/>
          <w:sz w:val="32"/>
          <w:szCs w:val="32"/>
        </w:rPr>
        <w:t>二、基本原则</w:t>
      </w:r>
    </w:p>
    <w:p w:rsidR="009E0124" w:rsidRDefault="009E0124" w:rsidP="00255870">
      <w:pPr>
        <w:pStyle w:val="NormalWeb"/>
        <w:widowControl/>
        <w:spacing w:beforeAutospacing="0" w:afterAutospacing="0" w:line="240" w:lineRule="atLeast"/>
        <w:ind w:firstLineChars="200" w:firstLine="31680"/>
        <w:jc w:val="both"/>
        <w:rPr>
          <w:rFonts w:ascii="仿宋_GB2312" w:eastAsia="仿宋_GB2312"/>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坚持市场主导。</w:t>
      </w:r>
      <w:r>
        <w:rPr>
          <w:rFonts w:ascii="仿宋_GB2312" w:eastAsia="仿宋_GB2312" w:hint="eastAsia"/>
          <w:sz w:val="32"/>
          <w:szCs w:val="32"/>
        </w:rPr>
        <w:t>确立金融机构的市场主体地位，发挥市场机制在金融资源配置中的决定性作用，为经济社会发展提供有效的金融资源保障。</w:t>
      </w:r>
    </w:p>
    <w:p w:rsidR="009E0124" w:rsidRDefault="009E0124" w:rsidP="00255870">
      <w:pPr>
        <w:pStyle w:val="NormalWeb"/>
        <w:widowControl/>
        <w:spacing w:beforeAutospacing="0" w:afterAutospacing="0" w:line="240" w:lineRule="atLeast"/>
        <w:ind w:firstLineChars="200" w:firstLine="31680"/>
        <w:jc w:val="both"/>
        <w:rPr>
          <w:rFonts w:ascii="仿宋_GB2312" w:eastAsia="仿宋_GB2312"/>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坚持服务经济。</w:t>
      </w:r>
      <w:r>
        <w:rPr>
          <w:rFonts w:ascii="仿宋_GB2312" w:eastAsia="仿宋_GB2312" w:hint="eastAsia"/>
          <w:sz w:val="32"/>
          <w:szCs w:val="32"/>
        </w:rPr>
        <w:t>将为实体经济服务作为金融创新发展的落脚点，推动经济与金融良性互动发展，满足实体经济日益增长的金融需求，提升人民群众对金融改革发展成果的获得感。</w:t>
      </w:r>
    </w:p>
    <w:p w:rsidR="009E0124" w:rsidRDefault="009E0124" w:rsidP="00255870">
      <w:pPr>
        <w:pStyle w:val="NormalWeb"/>
        <w:widowControl/>
        <w:spacing w:beforeAutospacing="0" w:afterAutospacing="0" w:line="240" w:lineRule="atLeast"/>
        <w:ind w:firstLineChars="200" w:firstLine="31680"/>
        <w:jc w:val="both"/>
        <w:rPr>
          <w:rFonts w:ascii="仿宋_GB2312" w:eastAsia="仿宋_GB2312"/>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坚持创新驱动。</w:t>
      </w:r>
      <w:r>
        <w:rPr>
          <w:rFonts w:ascii="仿宋_GB2312" w:eastAsia="仿宋_GB2312" w:hint="eastAsia"/>
          <w:sz w:val="32"/>
          <w:szCs w:val="32"/>
        </w:rPr>
        <w:t>完善金融对外开放交流机制，调动金融市场主体金融创新的积极性、主动性和创造性，鼓励金融产品、服务、机制创新，增强金融业发展活力。</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坚持防控风险。</w:t>
      </w:r>
      <w:r>
        <w:rPr>
          <w:rFonts w:ascii="仿宋_GB2312" w:eastAsia="仿宋_GB2312" w:hint="eastAsia"/>
          <w:sz w:val="32"/>
          <w:szCs w:val="32"/>
        </w:rPr>
        <w:t>坚持不发生区域性、系统性金融风险这一底线。在推进金融业发展过程中，要正确处理好金融创新与防范金融风险的关系。</w:t>
      </w:r>
    </w:p>
    <w:p w:rsidR="009E0124" w:rsidRDefault="009E0124" w:rsidP="00255870">
      <w:pPr>
        <w:pStyle w:val="NormalWeb"/>
        <w:widowControl/>
        <w:shd w:val="clear" w:color="auto" w:fill="FFFFFF"/>
        <w:spacing w:beforeAutospacing="0" w:afterAutospacing="0" w:line="240" w:lineRule="atLeas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三、发展目标</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sz w:val="32"/>
          <w:szCs w:val="32"/>
        </w:rPr>
      </w:pPr>
      <w:r>
        <w:rPr>
          <w:rFonts w:ascii="仿宋_GB2312" w:eastAsia="仿宋_GB2312" w:hAnsi="仿宋_GB2312" w:cs="仿宋_GB2312" w:hint="eastAsia"/>
          <w:b/>
          <w:bCs/>
          <w:kern w:val="2"/>
          <w:sz w:val="32"/>
          <w:szCs w:val="32"/>
        </w:rPr>
        <w:t>（一）总体目标。</w:t>
      </w:r>
      <w:r>
        <w:rPr>
          <w:rFonts w:ascii="仿宋_GB2312" w:eastAsia="仿宋_GB2312" w:hint="eastAsia"/>
          <w:sz w:val="32"/>
          <w:szCs w:val="32"/>
        </w:rPr>
        <w:t>到“十三五”期末，金融机构更加多元，金融功能更加完备，金融产业地位更加突出，金融生态环境更加优化，“两中心一平台”作用不断发挥，基本形成支持地方经济转型升级的“大金融服务”格局和资源配置方式，金融强县基本建成。</w:t>
      </w:r>
    </w:p>
    <w:p w:rsidR="009E0124" w:rsidRDefault="009E0124" w:rsidP="00255870">
      <w:pPr>
        <w:pStyle w:val="NormalWeb"/>
        <w:shd w:val="clear" w:color="auto" w:fill="FFFFFF"/>
        <w:spacing w:beforeAutospacing="0" w:afterAutospacing="0" w:line="560" w:lineRule="exact"/>
        <w:ind w:firstLineChars="200" w:firstLine="31680"/>
        <w:jc w:val="both"/>
        <w:rPr>
          <w:rFonts w:ascii="仿宋_GB2312" w:eastAsia="仿宋_GB2312"/>
          <w:b/>
          <w:bCs/>
          <w:sz w:val="32"/>
          <w:szCs w:val="32"/>
        </w:rPr>
      </w:pPr>
      <w:r>
        <w:rPr>
          <w:rFonts w:ascii="仿宋_GB2312" w:eastAsia="仿宋_GB2312" w:hint="eastAsia"/>
          <w:b/>
          <w:bCs/>
          <w:sz w:val="32"/>
          <w:szCs w:val="32"/>
        </w:rPr>
        <w:t>（二）具体目标</w:t>
      </w:r>
    </w:p>
    <w:p w:rsidR="009E0124" w:rsidRDefault="009E0124" w:rsidP="00255870">
      <w:pPr>
        <w:pStyle w:val="p0"/>
        <w:spacing w:beforeAutospacing="0" w:afterAutospacing="0" w:line="560" w:lineRule="exact"/>
        <w:ind w:firstLineChars="200" w:firstLine="31680"/>
        <w:jc w:val="both"/>
        <w:rPr>
          <w:rFonts w:ascii="仿宋_GB2312" w:eastAsia="仿宋_GB2312" w:hAnsi="Calibri"/>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金融产业实力。</w:t>
      </w:r>
      <w:r>
        <w:rPr>
          <w:rFonts w:ascii="仿宋_GB2312" w:eastAsia="仿宋_GB2312" w:hAnsi="Calibri" w:hint="eastAsia"/>
          <w:sz w:val="32"/>
          <w:szCs w:val="32"/>
        </w:rPr>
        <w:t>“十三五”期末，金融业增加值</w:t>
      </w:r>
      <w:r>
        <w:rPr>
          <w:rFonts w:ascii="仿宋_GB2312" w:eastAsia="仿宋_GB2312" w:hAnsi="Calibri"/>
          <w:sz w:val="32"/>
          <w:szCs w:val="32"/>
        </w:rPr>
        <w:t>25.20</w:t>
      </w:r>
      <w:r>
        <w:rPr>
          <w:rFonts w:ascii="仿宋_GB2312" w:eastAsia="仿宋_GB2312" w:hAnsi="Calibri" w:hint="eastAsia"/>
          <w:sz w:val="32"/>
          <w:szCs w:val="32"/>
        </w:rPr>
        <w:t>亿元，年均增长</w:t>
      </w:r>
      <w:r>
        <w:rPr>
          <w:rFonts w:ascii="仿宋_GB2312" w:eastAsia="仿宋_GB2312" w:hAnsi="Calibri"/>
          <w:sz w:val="32"/>
          <w:szCs w:val="32"/>
        </w:rPr>
        <w:t>11.75%</w:t>
      </w:r>
      <w:r>
        <w:rPr>
          <w:rFonts w:ascii="仿宋_GB2312" w:eastAsia="仿宋_GB2312" w:hAnsi="Calibri" w:hint="eastAsia"/>
          <w:sz w:val="32"/>
          <w:szCs w:val="32"/>
        </w:rPr>
        <w:t>。金融业增加值占</w:t>
      </w:r>
      <w:r>
        <w:rPr>
          <w:rFonts w:ascii="仿宋_GB2312" w:eastAsia="仿宋_GB2312" w:hAnsi="Calibri"/>
          <w:sz w:val="32"/>
          <w:szCs w:val="32"/>
        </w:rPr>
        <w:t>GDP</w:t>
      </w:r>
      <w:r>
        <w:rPr>
          <w:rFonts w:ascii="仿宋_GB2312" w:eastAsia="仿宋_GB2312" w:hAnsi="Calibri" w:hint="eastAsia"/>
          <w:sz w:val="32"/>
          <w:szCs w:val="32"/>
        </w:rPr>
        <w:t>比重</w:t>
      </w:r>
      <w:r>
        <w:rPr>
          <w:rFonts w:ascii="仿宋_GB2312" w:eastAsia="仿宋_GB2312" w:hAnsi="Calibri"/>
          <w:sz w:val="32"/>
          <w:szCs w:val="32"/>
        </w:rPr>
        <w:t>8%</w:t>
      </w:r>
      <w:r>
        <w:rPr>
          <w:rFonts w:ascii="仿宋_GB2312" w:eastAsia="仿宋_GB2312" w:hAnsi="Calibri" w:hint="eastAsia"/>
          <w:sz w:val="32"/>
          <w:szCs w:val="32"/>
        </w:rPr>
        <w:t>，占服务业比重</w:t>
      </w:r>
      <w:r>
        <w:rPr>
          <w:rFonts w:ascii="仿宋_GB2312" w:eastAsia="仿宋_GB2312" w:hAnsi="Calibri"/>
          <w:sz w:val="32"/>
          <w:szCs w:val="32"/>
        </w:rPr>
        <w:t>21%</w:t>
      </w:r>
      <w:r>
        <w:rPr>
          <w:rFonts w:ascii="仿宋_GB2312" w:eastAsia="仿宋_GB2312" w:hAnsi="Calibri" w:hint="eastAsia"/>
          <w:sz w:val="32"/>
          <w:szCs w:val="32"/>
        </w:rPr>
        <w:t>。金融从业人数年均增长</w:t>
      </w:r>
      <w:r>
        <w:rPr>
          <w:rFonts w:ascii="仿宋_GB2312" w:eastAsia="仿宋_GB2312" w:hAnsi="Calibri"/>
          <w:sz w:val="32"/>
          <w:szCs w:val="32"/>
        </w:rPr>
        <w:t>3</w:t>
      </w:r>
      <w:r>
        <w:rPr>
          <w:rFonts w:ascii="仿宋_GB2312" w:eastAsia="仿宋_GB2312" w:hAnsi="Calibri"/>
          <w:sz w:val="32"/>
          <w:szCs w:val="32"/>
        </w:rPr>
        <w:t>—</w:t>
      </w:r>
      <w:r>
        <w:rPr>
          <w:rFonts w:ascii="仿宋_GB2312" w:eastAsia="仿宋_GB2312" w:hAnsi="Calibri"/>
          <w:sz w:val="32"/>
          <w:szCs w:val="32"/>
        </w:rPr>
        <w:t>4%</w:t>
      </w:r>
      <w:r>
        <w:rPr>
          <w:rFonts w:ascii="仿宋_GB2312" w:eastAsia="仿宋_GB2312" w:hAnsi="Calibri" w:hint="eastAsia"/>
          <w:sz w:val="32"/>
          <w:szCs w:val="32"/>
        </w:rPr>
        <w:t>。</w:t>
      </w:r>
    </w:p>
    <w:p w:rsidR="009E0124" w:rsidRDefault="009E0124" w:rsidP="00255870">
      <w:pPr>
        <w:pStyle w:val="p0"/>
        <w:spacing w:beforeAutospacing="0" w:afterAutospacing="0" w:line="560" w:lineRule="exact"/>
        <w:ind w:firstLineChars="200" w:firstLine="31680"/>
        <w:jc w:val="both"/>
        <w:rPr>
          <w:rFonts w:ascii="仿宋_GB2312" w:eastAsia="仿宋_GB2312" w:hAnsi="Calibri"/>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金融发展规模。</w:t>
      </w:r>
      <w:r>
        <w:rPr>
          <w:rFonts w:ascii="仿宋_GB2312" w:eastAsia="仿宋_GB2312" w:hAnsi="Calibri" w:hint="eastAsia"/>
          <w:sz w:val="32"/>
          <w:szCs w:val="32"/>
        </w:rPr>
        <w:t>“十三五”期末，本外币存贷款余额分别达到</w:t>
      </w:r>
      <w:r>
        <w:rPr>
          <w:rFonts w:ascii="仿宋_GB2312" w:eastAsia="仿宋_GB2312" w:hAnsi="Calibri"/>
          <w:sz w:val="32"/>
          <w:szCs w:val="32"/>
        </w:rPr>
        <w:t>800</w:t>
      </w:r>
      <w:r>
        <w:rPr>
          <w:rFonts w:ascii="仿宋_GB2312" w:eastAsia="仿宋_GB2312" w:hAnsi="Calibri" w:hint="eastAsia"/>
          <w:sz w:val="32"/>
          <w:szCs w:val="32"/>
        </w:rPr>
        <w:t>亿元和</w:t>
      </w:r>
      <w:r>
        <w:rPr>
          <w:rFonts w:ascii="仿宋_GB2312" w:eastAsia="仿宋_GB2312" w:hAnsi="Calibri"/>
          <w:sz w:val="32"/>
          <w:szCs w:val="32"/>
        </w:rPr>
        <w:t>300</w:t>
      </w:r>
      <w:r>
        <w:rPr>
          <w:rFonts w:ascii="仿宋_GB2312" w:eastAsia="仿宋_GB2312" w:hAnsi="Calibri" w:hint="eastAsia"/>
          <w:sz w:val="32"/>
          <w:szCs w:val="32"/>
        </w:rPr>
        <w:t>亿元左右，年均增长约</w:t>
      </w:r>
      <w:r>
        <w:rPr>
          <w:rFonts w:ascii="仿宋_GB2312" w:eastAsia="仿宋_GB2312" w:hAnsi="Calibri"/>
          <w:sz w:val="32"/>
          <w:szCs w:val="32"/>
        </w:rPr>
        <w:t>11.90%</w:t>
      </w:r>
      <w:r>
        <w:rPr>
          <w:rFonts w:ascii="仿宋_GB2312" w:eastAsia="仿宋_GB2312" w:hAnsi="Calibri" w:hint="eastAsia"/>
          <w:sz w:val="32"/>
          <w:szCs w:val="32"/>
        </w:rPr>
        <w:t>和</w:t>
      </w:r>
      <w:r>
        <w:rPr>
          <w:rFonts w:ascii="仿宋_GB2312" w:eastAsia="仿宋_GB2312" w:hAnsi="Calibri"/>
          <w:sz w:val="32"/>
          <w:szCs w:val="32"/>
        </w:rPr>
        <w:t>6%</w:t>
      </w:r>
      <w:r>
        <w:rPr>
          <w:rFonts w:ascii="仿宋_GB2312" w:eastAsia="仿宋_GB2312" w:hAnsi="Calibri" w:hint="eastAsia"/>
          <w:sz w:val="32"/>
          <w:szCs w:val="32"/>
        </w:rPr>
        <w:t>。保费收入</w:t>
      </w:r>
      <w:r>
        <w:rPr>
          <w:rFonts w:ascii="仿宋_GB2312" w:eastAsia="仿宋_GB2312" w:hAnsi="Calibri"/>
          <w:sz w:val="32"/>
          <w:szCs w:val="32"/>
        </w:rPr>
        <w:t>11.94</w:t>
      </w:r>
      <w:r>
        <w:rPr>
          <w:rFonts w:ascii="仿宋_GB2312" w:eastAsia="仿宋_GB2312" w:hAnsi="Calibri" w:hint="eastAsia"/>
          <w:sz w:val="32"/>
          <w:szCs w:val="32"/>
        </w:rPr>
        <w:t>亿元，年均增长</w:t>
      </w:r>
      <w:r>
        <w:rPr>
          <w:rFonts w:ascii="仿宋_GB2312" w:eastAsia="仿宋_GB2312" w:hAnsi="Calibri"/>
          <w:sz w:val="32"/>
          <w:szCs w:val="32"/>
        </w:rPr>
        <w:t>20%</w:t>
      </w:r>
      <w:r>
        <w:rPr>
          <w:rFonts w:ascii="仿宋_GB2312" w:eastAsia="仿宋_GB2312" w:hAnsi="Calibri" w:hint="eastAsia"/>
          <w:sz w:val="32"/>
          <w:szCs w:val="32"/>
        </w:rPr>
        <w:t>。股票</w:t>
      </w:r>
      <w:r>
        <w:rPr>
          <w:rFonts w:ascii="仿宋_GB2312" w:eastAsia="仿宋_GB2312" w:hAnsi="Calibri"/>
          <w:sz w:val="32"/>
          <w:szCs w:val="32"/>
        </w:rPr>
        <w:t>A</w:t>
      </w:r>
      <w:r>
        <w:rPr>
          <w:rFonts w:ascii="仿宋_GB2312" w:eastAsia="仿宋_GB2312" w:hAnsi="Calibri" w:hint="eastAsia"/>
          <w:sz w:val="32"/>
          <w:szCs w:val="32"/>
        </w:rPr>
        <w:t>股交易额</w:t>
      </w:r>
      <w:r>
        <w:rPr>
          <w:rFonts w:ascii="仿宋_GB2312" w:eastAsia="仿宋_GB2312" w:hAnsi="Calibri"/>
          <w:sz w:val="32"/>
          <w:szCs w:val="32"/>
        </w:rPr>
        <w:t>1800</w:t>
      </w:r>
      <w:r>
        <w:rPr>
          <w:rFonts w:ascii="仿宋_GB2312" w:eastAsia="仿宋_GB2312" w:hAnsi="Calibri" w:hint="eastAsia"/>
          <w:sz w:val="32"/>
          <w:szCs w:val="32"/>
        </w:rPr>
        <w:t>亿元，年均增长</w:t>
      </w:r>
      <w:r>
        <w:rPr>
          <w:rFonts w:ascii="仿宋_GB2312" w:eastAsia="仿宋_GB2312" w:hAnsi="Calibri"/>
          <w:sz w:val="32"/>
          <w:szCs w:val="32"/>
        </w:rPr>
        <w:t>10%</w:t>
      </w:r>
      <w:r>
        <w:rPr>
          <w:rFonts w:ascii="仿宋_GB2312" w:eastAsia="仿宋_GB2312" w:hAnsi="Calibri" w:hint="eastAsia"/>
          <w:sz w:val="32"/>
          <w:szCs w:val="32"/>
        </w:rPr>
        <w:t>。新增上市企业</w:t>
      </w:r>
      <w:r>
        <w:rPr>
          <w:rFonts w:ascii="仿宋_GB2312" w:eastAsia="仿宋_GB2312" w:hAnsi="Calibri"/>
          <w:sz w:val="32"/>
          <w:szCs w:val="32"/>
        </w:rPr>
        <w:t>9</w:t>
      </w:r>
      <w:r>
        <w:rPr>
          <w:rFonts w:ascii="仿宋_GB2312" w:eastAsia="仿宋_GB2312" w:hAnsi="Calibri" w:hint="eastAsia"/>
          <w:sz w:val="32"/>
          <w:szCs w:val="32"/>
        </w:rPr>
        <w:t>家，新增债券、票据等直接融资企业</w:t>
      </w:r>
      <w:r>
        <w:rPr>
          <w:rFonts w:ascii="仿宋_GB2312" w:eastAsia="仿宋_GB2312" w:hAnsi="Calibri"/>
          <w:sz w:val="32"/>
          <w:szCs w:val="32"/>
        </w:rPr>
        <w:t>2</w:t>
      </w:r>
      <w:r>
        <w:rPr>
          <w:rFonts w:ascii="仿宋_GB2312" w:eastAsia="仿宋_GB2312" w:hAnsi="Calibri" w:hint="eastAsia"/>
          <w:sz w:val="32"/>
          <w:szCs w:val="32"/>
        </w:rPr>
        <w:t>家。</w:t>
      </w:r>
    </w:p>
    <w:p w:rsidR="009E0124" w:rsidRDefault="009E0124" w:rsidP="00255870">
      <w:pPr>
        <w:widowControl/>
        <w:spacing w:line="560" w:lineRule="exact"/>
        <w:ind w:firstLineChars="200" w:firstLine="31680"/>
        <w:rPr>
          <w:rFonts w:ascii="仿宋_GB2312" w:eastAsia="仿宋_GB2312"/>
          <w:kern w:val="0"/>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金融组织体系。</w:t>
      </w:r>
      <w:r>
        <w:rPr>
          <w:rFonts w:ascii="仿宋_GB2312" w:eastAsia="仿宋_GB2312" w:hint="eastAsia"/>
          <w:kern w:val="0"/>
          <w:sz w:val="32"/>
          <w:szCs w:val="32"/>
        </w:rPr>
        <w:t>“十三五”期末，筹建民营控股银行</w:t>
      </w:r>
      <w:r>
        <w:rPr>
          <w:rFonts w:ascii="仿宋_GB2312" w:eastAsia="仿宋_GB2312"/>
          <w:kern w:val="0"/>
          <w:sz w:val="32"/>
          <w:szCs w:val="32"/>
        </w:rPr>
        <w:t>1</w:t>
      </w:r>
      <w:r>
        <w:rPr>
          <w:rFonts w:ascii="仿宋_GB2312" w:eastAsia="仿宋_GB2312" w:hint="eastAsia"/>
          <w:kern w:val="0"/>
          <w:sz w:val="32"/>
          <w:szCs w:val="32"/>
        </w:rPr>
        <w:t>家。设立政府产业投资基金</w:t>
      </w:r>
      <w:r>
        <w:rPr>
          <w:rFonts w:ascii="仿宋_GB2312" w:eastAsia="仿宋_GB2312"/>
          <w:kern w:val="0"/>
          <w:sz w:val="32"/>
          <w:szCs w:val="32"/>
        </w:rPr>
        <w:t>2</w:t>
      </w:r>
      <w:r>
        <w:rPr>
          <w:rFonts w:ascii="仿宋_GB2312" w:eastAsia="仿宋_GB2312" w:hint="eastAsia"/>
          <w:kern w:val="0"/>
          <w:sz w:val="32"/>
          <w:szCs w:val="32"/>
        </w:rPr>
        <w:t>只。新增本外币货币兑换机构</w:t>
      </w:r>
      <w:r>
        <w:rPr>
          <w:rFonts w:ascii="仿宋_GB2312" w:eastAsia="仿宋_GB2312"/>
          <w:kern w:val="0"/>
          <w:sz w:val="32"/>
          <w:szCs w:val="32"/>
        </w:rPr>
        <w:t>2</w:t>
      </w:r>
      <w:r>
        <w:rPr>
          <w:rFonts w:ascii="仿宋_GB2312" w:eastAsia="仿宋_GB2312" w:hint="eastAsia"/>
          <w:kern w:val="0"/>
          <w:sz w:val="32"/>
          <w:szCs w:val="32"/>
        </w:rPr>
        <w:t>个。新增公私募投资基金</w:t>
      </w:r>
      <w:r>
        <w:rPr>
          <w:rFonts w:ascii="仿宋_GB2312" w:eastAsia="仿宋_GB2312"/>
          <w:kern w:val="0"/>
          <w:sz w:val="32"/>
          <w:szCs w:val="32"/>
        </w:rPr>
        <w:t>1</w:t>
      </w:r>
      <w:r>
        <w:rPr>
          <w:rFonts w:ascii="仿宋_GB2312" w:eastAsia="仿宋_GB2312" w:hint="eastAsia"/>
          <w:kern w:val="0"/>
          <w:sz w:val="32"/>
          <w:szCs w:val="32"/>
        </w:rPr>
        <w:t>家。新增股权投资机构和资产管理机构</w:t>
      </w:r>
      <w:r>
        <w:rPr>
          <w:rFonts w:ascii="仿宋_GB2312" w:eastAsia="仿宋_GB2312"/>
          <w:kern w:val="0"/>
          <w:sz w:val="32"/>
          <w:szCs w:val="32"/>
        </w:rPr>
        <w:t>2</w:t>
      </w:r>
      <w:r>
        <w:rPr>
          <w:rFonts w:ascii="仿宋_GB2312" w:eastAsia="仿宋_GB2312" w:hint="eastAsia"/>
          <w:kern w:val="0"/>
          <w:sz w:val="32"/>
          <w:szCs w:val="32"/>
        </w:rPr>
        <w:t>家。</w:t>
      </w:r>
    </w:p>
    <w:p w:rsidR="009E0124" w:rsidRDefault="009E0124" w:rsidP="00255870">
      <w:pPr>
        <w:pStyle w:val="NormalWeb"/>
        <w:shd w:val="clear" w:color="auto" w:fill="FFFFFF"/>
        <w:spacing w:beforeAutospacing="0" w:afterAutospacing="0" w:line="240" w:lineRule="atLeast"/>
        <w:ind w:firstLineChars="200" w:firstLine="31680"/>
        <w:jc w:val="both"/>
        <w:rPr>
          <w:rFonts w:ascii="仿宋_GB2312" w:eastAsia="仿宋_GB2312"/>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金融生态环境。</w:t>
      </w:r>
      <w:r>
        <w:rPr>
          <w:rFonts w:ascii="仿宋_GB2312" w:eastAsia="仿宋_GB2312" w:hint="eastAsia"/>
          <w:sz w:val="32"/>
          <w:szCs w:val="32"/>
        </w:rPr>
        <w:t>“十三五”期末，社会信用体系不断健全，信用激励约束机制基本形成。多层次融资担保体系更加健全。专业中介服务机构服务水平不断提升。金融法治环境进一步优化。金融管理体制更加完善。金融政策支持体系更加健全。</w:t>
      </w:r>
    </w:p>
    <w:tbl>
      <w:tblPr>
        <w:tblW w:w="8522" w:type="dxa"/>
        <w:jc w:val="center"/>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tblPr>
      <w:tblGrid>
        <w:gridCol w:w="759"/>
        <w:gridCol w:w="2460"/>
        <w:gridCol w:w="1665"/>
        <w:gridCol w:w="1620"/>
        <w:gridCol w:w="1778"/>
        <w:gridCol w:w="240"/>
      </w:tblGrid>
      <w:tr w:rsidR="009E0124">
        <w:trPr>
          <w:trHeight w:val="737"/>
          <w:jc w:val="center"/>
        </w:trPr>
        <w:tc>
          <w:tcPr>
            <w:tcW w:w="8282" w:type="dxa"/>
            <w:gridSpan w:val="5"/>
            <w:tcBorders>
              <w:top w:val="single" w:sz="8" w:space="0" w:color="auto"/>
            </w:tcBorders>
            <w:shd w:val="clear" w:color="auto" w:fill="00B050"/>
            <w:vAlign w:val="center"/>
          </w:tcPr>
          <w:p w:rsidR="009E0124" w:rsidRDefault="009E0124" w:rsidP="009E0124">
            <w:pPr>
              <w:widowControl/>
              <w:spacing w:line="240" w:lineRule="atLeast"/>
              <w:ind w:firstLineChars="200" w:firstLine="31680"/>
              <w:jc w:val="center"/>
              <w:rPr>
                <w:rFonts w:ascii="仿宋_GB2312" w:eastAsia="仿宋_GB2312" w:hAnsi="宋体" w:cs="宋体"/>
                <w:b/>
                <w:bCs/>
                <w:spacing w:val="-4"/>
                <w:kern w:val="0"/>
                <w:sz w:val="28"/>
                <w:szCs w:val="32"/>
                <w:shd w:val="clear" w:color="FFFFFF" w:fill="D9D9D9"/>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2  </w:t>
            </w:r>
            <w:r>
              <w:rPr>
                <w:rFonts w:ascii="仿宋_GB2312" w:eastAsia="仿宋_GB2312" w:hAnsi="仿宋_GB2312" w:cs="仿宋_GB2312" w:hint="eastAsia"/>
                <w:b/>
                <w:bCs/>
                <w:spacing w:val="-4"/>
                <w:kern w:val="0"/>
                <w:sz w:val="28"/>
                <w:szCs w:val="32"/>
              </w:rPr>
              <w:t>青田县金融业“十三五”主要指标</w:t>
            </w:r>
          </w:p>
        </w:tc>
        <w:tc>
          <w:tcPr>
            <w:tcW w:w="240" w:type="dxa"/>
            <w:tcBorders>
              <w:top w:val="single" w:sz="8" w:space="0" w:color="auto"/>
            </w:tcBorders>
            <w:shd w:val="clear" w:color="auto" w:fill="00B050"/>
            <w:vAlign w:val="center"/>
          </w:tcPr>
          <w:p w:rsidR="009E0124" w:rsidRDefault="009E0124" w:rsidP="009E0124">
            <w:pPr>
              <w:widowControl/>
              <w:spacing w:line="240" w:lineRule="atLeast"/>
              <w:ind w:firstLineChars="200" w:firstLine="31680"/>
              <w:jc w:val="center"/>
              <w:rPr>
                <w:rFonts w:ascii="仿宋_GB2312" w:eastAsia="仿宋_GB2312" w:hAnsi="仿宋_GB2312" w:cs="仿宋_GB2312"/>
                <w:b/>
                <w:bCs/>
                <w:kern w:val="0"/>
                <w:sz w:val="28"/>
                <w:szCs w:val="28"/>
              </w:rPr>
            </w:pPr>
          </w:p>
        </w:tc>
      </w:tr>
      <w:tr w:rsidR="009E0124">
        <w:trPr>
          <w:trHeight w:val="375"/>
          <w:jc w:val="center"/>
        </w:trPr>
        <w:tc>
          <w:tcPr>
            <w:tcW w:w="3219" w:type="dxa"/>
            <w:gridSpan w:val="2"/>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
                <w:spacing w:val="-4"/>
                <w:kern w:val="0"/>
                <w:szCs w:val="21"/>
              </w:rPr>
            </w:pPr>
            <w:r>
              <w:rPr>
                <w:rFonts w:ascii="仿宋_GB2312" w:eastAsia="仿宋_GB2312" w:hAnsi="宋体" w:cs="宋体" w:hint="eastAsia"/>
                <w:b/>
                <w:spacing w:val="-4"/>
                <w:kern w:val="0"/>
                <w:szCs w:val="21"/>
              </w:rPr>
              <w:t>指</w:t>
            </w:r>
            <w:r>
              <w:rPr>
                <w:rFonts w:ascii="仿宋_GB2312" w:eastAsia="仿宋_GB2312" w:hAnsi="宋体" w:cs="宋体"/>
                <w:b/>
                <w:spacing w:val="-4"/>
                <w:kern w:val="0"/>
                <w:szCs w:val="21"/>
              </w:rPr>
              <w:t xml:space="preserve">    </w:t>
            </w:r>
            <w:r>
              <w:rPr>
                <w:rFonts w:ascii="仿宋_GB2312" w:eastAsia="仿宋_GB2312" w:hAnsi="宋体" w:cs="宋体" w:hint="eastAsia"/>
                <w:b/>
                <w:spacing w:val="-4"/>
                <w:kern w:val="0"/>
                <w:szCs w:val="21"/>
              </w:rPr>
              <w:t>标</w:t>
            </w:r>
          </w:p>
        </w:tc>
        <w:tc>
          <w:tcPr>
            <w:tcW w:w="1665" w:type="dxa"/>
            <w:shd w:val="clear" w:color="auto" w:fill="FFFF00"/>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 xml:space="preserve">  </w:t>
            </w:r>
            <w:r>
              <w:rPr>
                <w:rFonts w:ascii="仿宋_GB2312" w:eastAsia="仿宋_GB2312" w:hAnsi="宋体" w:cs="宋体" w:hint="eastAsia"/>
                <w:b/>
                <w:spacing w:val="-4"/>
                <w:kern w:val="0"/>
                <w:szCs w:val="21"/>
              </w:rPr>
              <w:t>“十二五”末</w:t>
            </w:r>
          </w:p>
        </w:tc>
        <w:tc>
          <w:tcPr>
            <w:tcW w:w="1620" w:type="dxa"/>
            <w:shd w:val="clear" w:color="auto" w:fill="FFFF00"/>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 xml:space="preserve">  </w:t>
            </w:r>
            <w:r>
              <w:rPr>
                <w:rFonts w:ascii="仿宋_GB2312" w:eastAsia="仿宋_GB2312" w:hAnsi="宋体" w:cs="宋体" w:hint="eastAsia"/>
                <w:b/>
                <w:spacing w:val="-4"/>
                <w:kern w:val="0"/>
                <w:szCs w:val="21"/>
              </w:rPr>
              <w:t>“十三五”末</w:t>
            </w:r>
          </w:p>
        </w:tc>
        <w:tc>
          <w:tcPr>
            <w:tcW w:w="2018" w:type="dxa"/>
            <w:gridSpan w:val="2"/>
            <w:shd w:val="clear" w:color="auto" w:fill="FFFF00"/>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 xml:space="preserve"> </w:t>
            </w:r>
            <w:r>
              <w:rPr>
                <w:rFonts w:ascii="仿宋_GB2312" w:eastAsia="仿宋_GB2312" w:hAnsi="宋体" w:cs="宋体" w:hint="eastAsia"/>
                <w:b/>
                <w:spacing w:val="-4"/>
                <w:kern w:val="0"/>
                <w:szCs w:val="21"/>
              </w:rPr>
              <w:t>平均增长或累计增加</w:t>
            </w:r>
          </w:p>
        </w:tc>
      </w:tr>
      <w:tr w:rsidR="009E0124">
        <w:trPr>
          <w:trHeight w:val="407"/>
          <w:jc w:val="center"/>
        </w:trPr>
        <w:tc>
          <w:tcPr>
            <w:tcW w:w="759" w:type="dxa"/>
            <w:vMerge w:val="restart"/>
            <w:shd w:val="clear" w:color="auto" w:fill="FFFF00"/>
            <w:vAlign w:val="center"/>
          </w:tcPr>
          <w:p w:rsidR="009E0124" w:rsidRDefault="009E0124">
            <w:pPr>
              <w:widowControl/>
              <w:spacing w:line="240" w:lineRule="atLeast"/>
              <w:jc w:val="center"/>
              <w:rPr>
                <w:rStyle w:val="Strong"/>
                <w:rFonts w:ascii="仿宋_GB2312" w:eastAsia="仿宋_GB2312" w:hAnsi="_x000B__x000C_"/>
                <w:b/>
                <w:bCs/>
                <w:szCs w:val="21"/>
              </w:rPr>
            </w:pPr>
            <w:r>
              <w:rPr>
                <w:rStyle w:val="Strong"/>
                <w:rFonts w:ascii="仿宋_GB2312" w:eastAsia="仿宋_GB2312" w:hAnsi="_x000B__x000C_" w:hint="eastAsia"/>
                <w:b/>
                <w:bCs/>
                <w:szCs w:val="21"/>
              </w:rPr>
              <w:t>金融</w:t>
            </w:r>
          </w:p>
          <w:p w:rsidR="009E0124" w:rsidRDefault="009E0124">
            <w:pPr>
              <w:widowControl/>
              <w:spacing w:line="240" w:lineRule="atLeast"/>
              <w:jc w:val="center"/>
              <w:rPr>
                <w:rStyle w:val="Strong"/>
                <w:rFonts w:ascii="仿宋_GB2312" w:eastAsia="仿宋_GB2312" w:hAnsi="_x000B__x000C_"/>
                <w:b/>
                <w:bCs/>
                <w:szCs w:val="21"/>
              </w:rPr>
            </w:pPr>
            <w:r>
              <w:rPr>
                <w:rStyle w:val="Strong"/>
                <w:rFonts w:ascii="仿宋_GB2312" w:eastAsia="仿宋_GB2312" w:hAnsi="_x000B__x000C_" w:hint="eastAsia"/>
                <w:b/>
                <w:bCs/>
                <w:szCs w:val="21"/>
              </w:rPr>
              <w:t>产业</w:t>
            </w:r>
          </w:p>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jc w:val="left"/>
              <w:rPr>
                <w:rFonts w:ascii="仿宋_GB2312" w:eastAsia="仿宋_GB2312" w:hAnsi="宋体" w:cs="宋体"/>
                <w:b/>
                <w:spacing w:val="-4"/>
                <w:kern w:val="0"/>
                <w:szCs w:val="21"/>
              </w:rPr>
            </w:pPr>
            <w:r>
              <w:rPr>
                <w:rFonts w:ascii="仿宋_GB2312" w:eastAsia="仿宋_GB2312" w:hAnsi="宋体" w:cs="宋体"/>
                <w:b/>
                <w:spacing w:val="-4"/>
                <w:kern w:val="0"/>
                <w:szCs w:val="21"/>
              </w:rPr>
              <w:t>1.</w:t>
            </w:r>
            <w:r>
              <w:rPr>
                <w:rFonts w:ascii="仿宋_GB2312" w:eastAsia="仿宋_GB2312" w:hAnsi="宋体" w:cs="宋体" w:hint="eastAsia"/>
                <w:b/>
                <w:spacing w:val="-4"/>
                <w:kern w:val="0"/>
                <w:szCs w:val="21"/>
              </w:rPr>
              <w:t>金融业增加值（亿）</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13.18</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25.2</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11.75%</w:t>
            </w:r>
          </w:p>
        </w:tc>
      </w:tr>
      <w:tr w:rsidR="009E0124">
        <w:trPr>
          <w:trHeight w:val="407"/>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2.</w:t>
            </w:r>
            <w:r>
              <w:rPr>
                <w:rFonts w:ascii="仿宋_GB2312" w:eastAsia="仿宋_GB2312" w:hAnsi="宋体" w:cs="宋体" w:hint="eastAsia"/>
                <w:b/>
                <w:spacing w:val="-4"/>
                <w:kern w:val="0"/>
                <w:szCs w:val="21"/>
              </w:rPr>
              <w:t>金融业增加值占</w:t>
            </w:r>
            <w:r>
              <w:rPr>
                <w:rFonts w:ascii="仿宋_GB2312" w:eastAsia="仿宋_GB2312" w:hAnsi="宋体" w:cs="宋体"/>
                <w:b/>
                <w:spacing w:val="-4"/>
                <w:kern w:val="0"/>
                <w:szCs w:val="21"/>
              </w:rPr>
              <w:t>GDP</w:t>
            </w:r>
            <w:r>
              <w:rPr>
                <w:rFonts w:ascii="仿宋_GB2312" w:eastAsia="仿宋_GB2312" w:hAnsi="宋体" w:cs="宋体" w:hint="eastAsia"/>
                <w:b/>
                <w:spacing w:val="-4"/>
                <w:kern w:val="0"/>
                <w:szCs w:val="21"/>
              </w:rPr>
              <w:t>（</w:t>
            </w:r>
            <w:r>
              <w:rPr>
                <w:rFonts w:ascii="仿宋_GB2312" w:eastAsia="仿宋_GB2312" w:hAnsi="宋体" w:cs="宋体"/>
                <w:b/>
                <w:spacing w:val="-4"/>
                <w:kern w:val="0"/>
                <w:szCs w:val="21"/>
              </w:rPr>
              <w:t>%</w:t>
            </w:r>
            <w:r>
              <w:rPr>
                <w:rFonts w:ascii="仿宋_GB2312" w:eastAsia="仿宋_GB2312" w:hAnsi="宋体" w:cs="宋体" w:hint="eastAsia"/>
                <w:b/>
                <w:spacing w:val="-4"/>
                <w:kern w:val="0"/>
                <w:szCs w:val="21"/>
              </w:rPr>
              <w:t>）</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6.8</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8</w:t>
            </w:r>
          </w:p>
        </w:tc>
        <w:tc>
          <w:tcPr>
            <w:tcW w:w="2018" w:type="dxa"/>
            <w:gridSpan w:val="2"/>
            <w:vAlign w:val="center"/>
          </w:tcPr>
          <w:p w:rsidR="009E0124" w:rsidRPr="0053125F" w:rsidRDefault="009E0124">
            <w:pPr>
              <w:widowControl/>
              <w:spacing w:line="240" w:lineRule="atLeast"/>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累计提高</w:t>
            </w:r>
            <w:r>
              <w:rPr>
                <w:rFonts w:ascii="仿宋_GB2312" w:eastAsia="仿宋_GB2312" w:hAnsi="宋体" w:cs="宋体"/>
                <w:spacing w:val="-4"/>
                <w:kern w:val="0"/>
                <w:szCs w:val="21"/>
              </w:rPr>
              <w:t>1</w:t>
            </w:r>
            <w:r w:rsidRPr="0053125F">
              <w:rPr>
                <w:rFonts w:ascii="仿宋_GB2312" w:eastAsia="仿宋_GB2312" w:hAnsi="宋体" w:cs="宋体"/>
                <w:spacing w:val="-4"/>
                <w:kern w:val="0"/>
                <w:szCs w:val="21"/>
              </w:rPr>
              <w:t>.2</w:t>
            </w:r>
            <w:r w:rsidRPr="0053125F">
              <w:rPr>
                <w:rFonts w:ascii="仿宋_GB2312" w:eastAsia="仿宋_GB2312" w:hAnsi="宋体" w:cs="宋体" w:hint="eastAsia"/>
                <w:spacing w:val="-4"/>
                <w:kern w:val="0"/>
                <w:szCs w:val="21"/>
              </w:rPr>
              <w:t>个百分点</w:t>
            </w:r>
          </w:p>
        </w:tc>
      </w:tr>
      <w:tr w:rsidR="009E0124">
        <w:trPr>
          <w:trHeight w:val="509"/>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3.</w:t>
            </w:r>
            <w:r>
              <w:rPr>
                <w:rFonts w:ascii="仿宋_GB2312" w:eastAsia="仿宋_GB2312" w:hAnsi="宋体" w:cs="宋体" w:hint="eastAsia"/>
                <w:b/>
                <w:spacing w:val="-4"/>
                <w:kern w:val="0"/>
                <w:szCs w:val="21"/>
              </w:rPr>
              <w:t>金融业增加值占服务业增加值（</w:t>
            </w:r>
            <w:r>
              <w:rPr>
                <w:rFonts w:ascii="仿宋_GB2312" w:eastAsia="仿宋_GB2312" w:hAnsi="宋体" w:cs="宋体"/>
                <w:b/>
                <w:spacing w:val="-4"/>
                <w:kern w:val="0"/>
                <w:szCs w:val="21"/>
              </w:rPr>
              <w:t>%</w:t>
            </w:r>
            <w:r>
              <w:rPr>
                <w:rFonts w:ascii="仿宋_GB2312" w:eastAsia="仿宋_GB2312" w:hAnsi="宋体" w:cs="宋体" w:hint="eastAsia"/>
                <w:b/>
                <w:spacing w:val="-4"/>
                <w:kern w:val="0"/>
                <w:szCs w:val="21"/>
              </w:rPr>
              <w:t>）</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17.61</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21</w:t>
            </w:r>
          </w:p>
        </w:tc>
        <w:tc>
          <w:tcPr>
            <w:tcW w:w="2018" w:type="dxa"/>
            <w:gridSpan w:val="2"/>
            <w:vAlign w:val="center"/>
          </w:tcPr>
          <w:p w:rsidR="009E0124" w:rsidRPr="0053125F" w:rsidRDefault="009E0124">
            <w:pPr>
              <w:widowControl/>
              <w:spacing w:line="240" w:lineRule="atLeast"/>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累计提高</w:t>
            </w:r>
            <w:r w:rsidRPr="0053125F">
              <w:rPr>
                <w:rFonts w:ascii="仿宋_GB2312" w:eastAsia="仿宋_GB2312" w:hAnsi="宋体" w:cs="宋体"/>
                <w:spacing w:val="-4"/>
                <w:kern w:val="0"/>
                <w:szCs w:val="21"/>
              </w:rPr>
              <w:t>3.39</w:t>
            </w:r>
            <w:r w:rsidRPr="0053125F">
              <w:rPr>
                <w:rFonts w:ascii="仿宋_GB2312" w:eastAsia="仿宋_GB2312" w:hAnsi="宋体" w:cs="宋体" w:hint="eastAsia"/>
                <w:spacing w:val="-4"/>
                <w:kern w:val="0"/>
                <w:szCs w:val="21"/>
              </w:rPr>
              <w:t>个百分点</w:t>
            </w:r>
          </w:p>
        </w:tc>
      </w:tr>
      <w:tr w:rsidR="009E0124">
        <w:trPr>
          <w:trHeight w:val="367"/>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4.</w:t>
            </w:r>
            <w:r>
              <w:rPr>
                <w:rFonts w:ascii="仿宋_GB2312" w:eastAsia="仿宋_GB2312" w:hAnsi="宋体" w:cs="宋体" w:hint="eastAsia"/>
                <w:b/>
                <w:spacing w:val="-4"/>
                <w:kern w:val="0"/>
                <w:szCs w:val="21"/>
              </w:rPr>
              <w:t>金融从业人数（人）</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1345</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16</w:t>
            </w:r>
            <w:r>
              <w:rPr>
                <w:rFonts w:ascii="仿宋_GB2312" w:eastAsia="仿宋_GB2312" w:hAnsi="宋体" w:cs="宋体"/>
                <w:spacing w:val="-4"/>
                <w:kern w:val="0"/>
                <w:szCs w:val="21"/>
              </w:rPr>
              <w:t>00</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3-</w:t>
            </w:r>
            <w:r w:rsidRPr="0053125F">
              <w:rPr>
                <w:rFonts w:ascii="仿宋_GB2312" w:eastAsia="仿宋_GB2312" w:hAnsi="宋体" w:cs="宋体"/>
                <w:spacing w:val="-4"/>
                <w:kern w:val="0"/>
                <w:szCs w:val="21"/>
              </w:rPr>
              <w:t>4%</w:t>
            </w:r>
          </w:p>
        </w:tc>
      </w:tr>
      <w:tr w:rsidR="009E0124">
        <w:trPr>
          <w:trHeight w:val="403"/>
          <w:jc w:val="center"/>
        </w:trPr>
        <w:tc>
          <w:tcPr>
            <w:tcW w:w="759" w:type="dxa"/>
            <w:vMerge w:val="restart"/>
            <w:shd w:val="clear" w:color="auto" w:fill="FFFF00"/>
            <w:vAlign w:val="center"/>
          </w:tcPr>
          <w:p w:rsidR="009E0124" w:rsidRDefault="009E0124">
            <w:pPr>
              <w:widowControl/>
              <w:spacing w:line="240" w:lineRule="atLeast"/>
              <w:jc w:val="center"/>
              <w:rPr>
                <w:rFonts w:ascii="仿宋_GB2312" w:eastAsia="仿宋_GB2312" w:hAnsi="宋体" w:cs="宋体"/>
                <w:b/>
                <w:spacing w:val="-4"/>
                <w:kern w:val="0"/>
                <w:szCs w:val="21"/>
              </w:rPr>
            </w:pPr>
            <w:r>
              <w:rPr>
                <w:rFonts w:ascii="仿宋_GB2312" w:eastAsia="仿宋_GB2312" w:hAnsi="宋体" w:cs="宋体" w:hint="eastAsia"/>
                <w:b/>
                <w:spacing w:val="-4"/>
                <w:kern w:val="0"/>
                <w:szCs w:val="21"/>
              </w:rPr>
              <w:t>银行</w:t>
            </w:r>
          </w:p>
          <w:p w:rsidR="009E0124" w:rsidRDefault="009E0124">
            <w:pPr>
              <w:widowControl/>
              <w:spacing w:line="240" w:lineRule="atLeast"/>
              <w:jc w:val="center"/>
              <w:rPr>
                <w:rFonts w:ascii="仿宋_GB2312" w:eastAsia="仿宋_GB2312" w:hAnsi="宋体" w:cs="宋体"/>
                <w:b/>
                <w:spacing w:val="-4"/>
                <w:kern w:val="0"/>
                <w:szCs w:val="21"/>
              </w:rPr>
            </w:pPr>
            <w:r>
              <w:rPr>
                <w:rFonts w:ascii="仿宋_GB2312" w:eastAsia="仿宋_GB2312" w:hAnsi="宋体" w:cs="宋体" w:hint="eastAsia"/>
                <w:b/>
                <w:spacing w:val="-4"/>
                <w:kern w:val="0"/>
                <w:szCs w:val="21"/>
              </w:rPr>
              <w:t>证券</w:t>
            </w:r>
          </w:p>
          <w:p w:rsidR="009E0124" w:rsidRDefault="009E0124">
            <w:pPr>
              <w:widowControl/>
              <w:spacing w:line="240" w:lineRule="atLeast"/>
              <w:jc w:val="center"/>
              <w:rPr>
                <w:rFonts w:ascii="仿宋_GB2312" w:eastAsia="仿宋_GB2312" w:hAnsi="宋体" w:cs="宋体"/>
                <w:b/>
                <w:spacing w:val="-4"/>
                <w:kern w:val="0"/>
                <w:szCs w:val="21"/>
              </w:rPr>
            </w:pPr>
            <w:r>
              <w:rPr>
                <w:rFonts w:ascii="仿宋_GB2312" w:eastAsia="仿宋_GB2312" w:hAnsi="宋体" w:cs="宋体" w:hint="eastAsia"/>
                <w:b/>
                <w:spacing w:val="-4"/>
                <w:kern w:val="0"/>
                <w:szCs w:val="21"/>
              </w:rPr>
              <w:t>保险</w:t>
            </w: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5.</w:t>
            </w:r>
            <w:r>
              <w:rPr>
                <w:rFonts w:ascii="仿宋_GB2312" w:eastAsia="仿宋_GB2312" w:hAnsi="宋体" w:cs="宋体" w:hint="eastAsia"/>
                <w:b/>
                <w:spacing w:val="-4"/>
                <w:kern w:val="0"/>
                <w:szCs w:val="21"/>
              </w:rPr>
              <w:t>本外币存款（亿）</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497</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800</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10%</w:t>
            </w:r>
          </w:p>
        </w:tc>
      </w:tr>
      <w:tr w:rsidR="009E0124">
        <w:trPr>
          <w:trHeight w:val="407"/>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6.</w:t>
            </w:r>
            <w:r>
              <w:rPr>
                <w:rFonts w:ascii="仿宋_GB2312" w:eastAsia="仿宋_GB2312" w:hAnsi="宋体" w:cs="宋体" w:hint="eastAsia"/>
                <w:b/>
                <w:spacing w:val="-4"/>
                <w:kern w:val="0"/>
                <w:szCs w:val="21"/>
              </w:rPr>
              <w:t>本外币贷款（亿）</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220</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300</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bookmarkStart w:id="0" w:name="_GoBack"/>
            <w:bookmarkEnd w:id="0"/>
            <w:r w:rsidRPr="0053125F">
              <w:rPr>
                <w:rFonts w:ascii="仿宋_GB2312" w:eastAsia="仿宋_GB2312" w:hAnsi="宋体" w:cs="宋体"/>
                <w:spacing w:val="-4"/>
                <w:kern w:val="0"/>
                <w:szCs w:val="21"/>
              </w:rPr>
              <w:t>6%</w:t>
            </w:r>
          </w:p>
        </w:tc>
      </w:tr>
      <w:tr w:rsidR="009E0124">
        <w:trPr>
          <w:trHeight w:val="407"/>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7.</w:t>
            </w:r>
            <w:r>
              <w:rPr>
                <w:rFonts w:ascii="仿宋_GB2312" w:eastAsia="仿宋_GB2312" w:hAnsi="宋体" w:cs="宋体" w:hint="eastAsia"/>
                <w:b/>
                <w:spacing w:val="-4"/>
                <w:kern w:val="0"/>
                <w:szCs w:val="21"/>
              </w:rPr>
              <w:t>股票</w:t>
            </w:r>
            <w:r>
              <w:rPr>
                <w:rFonts w:ascii="仿宋_GB2312" w:eastAsia="仿宋_GB2312" w:hAnsi="宋体" w:cs="宋体"/>
                <w:b/>
                <w:spacing w:val="-4"/>
                <w:kern w:val="0"/>
                <w:szCs w:val="21"/>
              </w:rPr>
              <w:t>A</w:t>
            </w:r>
            <w:r>
              <w:rPr>
                <w:rFonts w:ascii="仿宋_GB2312" w:eastAsia="仿宋_GB2312" w:hAnsi="宋体" w:cs="宋体" w:hint="eastAsia"/>
                <w:b/>
                <w:spacing w:val="-4"/>
                <w:kern w:val="0"/>
                <w:szCs w:val="21"/>
              </w:rPr>
              <w:t>交易额（亿）</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1118</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1800</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10%</w:t>
            </w:r>
          </w:p>
        </w:tc>
      </w:tr>
      <w:tr w:rsidR="009E0124">
        <w:trPr>
          <w:trHeight w:val="407"/>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8.</w:t>
            </w:r>
            <w:r>
              <w:rPr>
                <w:rFonts w:ascii="仿宋_GB2312" w:eastAsia="仿宋_GB2312" w:hAnsi="宋体" w:cs="宋体" w:hint="eastAsia"/>
                <w:b/>
                <w:spacing w:val="-4"/>
                <w:kern w:val="0"/>
                <w:szCs w:val="21"/>
              </w:rPr>
              <w:t>保费收入（亿）</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4.8</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11.94</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20%</w:t>
            </w:r>
          </w:p>
        </w:tc>
      </w:tr>
      <w:tr w:rsidR="009E0124">
        <w:trPr>
          <w:trHeight w:val="452"/>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9.</w:t>
            </w:r>
            <w:r>
              <w:rPr>
                <w:rFonts w:ascii="仿宋_GB2312" w:eastAsia="仿宋_GB2312" w:hAnsi="宋体" w:cs="宋体" w:hint="eastAsia"/>
                <w:b/>
                <w:spacing w:val="-4"/>
                <w:kern w:val="0"/>
                <w:szCs w:val="21"/>
              </w:rPr>
              <w:t>民营控股银行</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0</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累计增加</w:t>
            </w:r>
            <w:r w:rsidRPr="0053125F">
              <w:rPr>
                <w:rFonts w:ascii="仿宋_GB2312" w:eastAsia="仿宋_GB2312" w:hAnsi="宋体" w:cs="宋体"/>
                <w:spacing w:val="-4"/>
                <w:kern w:val="0"/>
                <w:szCs w:val="21"/>
              </w:rPr>
              <w:t>1</w:t>
            </w:r>
            <w:r w:rsidRPr="0053125F">
              <w:rPr>
                <w:rFonts w:ascii="仿宋_GB2312" w:eastAsia="仿宋_GB2312" w:hAnsi="宋体" w:cs="宋体" w:hint="eastAsia"/>
                <w:spacing w:val="-4"/>
                <w:kern w:val="0"/>
                <w:szCs w:val="21"/>
              </w:rPr>
              <w:t>个</w:t>
            </w:r>
          </w:p>
        </w:tc>
      </w:tr>
      <w:tr w:rsidR="009E0124">
        <w:trPr>
          <w:trHeight w:val="449"/>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Cs/>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10.</w:t>
            </w:r>
            <w:r>
              <w:rPr>
                <w:rFonts w:ascii="仿宋_GB2312" w:eastAsia="仿宋_GB2312" w:hAnsi="宋体" w:cs="宋体" w:hint="eastAsia"/>
                <w:b/>
                <w:spacing w:val="-4"/>
                <w:kern w:val="0"/>
                <w:szCs w:val="21"/>
              </w:rPr>
              <w:t>本外币兑换机构（个）</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10</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12</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累计增加</w:t>
            </w:r>
            <w:r>
              <w:rPr>
                <w:rFonts w:ascii="仿宋_GB2312" w:eastAsia="仿宋_GB2312" w:hAnsi="宋体" w:cs="宋体"/>
                <w:spacing w:val="-4"/>
                <w:kern w:val="0"/>
                <w:szCs w:val="21"/>
              </w:rPr>
              <w:t>2</w:t>
            </w:r>
            <w:r w:rsidRPr="0053125F">
              <w:rPr>
                <w:rFonts w:ascii="仿宋_GB2312" w:eastAsia="仿宋_GB2312" w:hAnsi="宋体" w:cs="宋体" w:hint="eastAsia"/>
                <w:spacing w:val="-4"/>
                <w:kern w:val="0"/>
                <w:szCs w:val="21"/>
              </w:rPr>
              <w:t>个</w:t>
            </w:r>
            <w:r>
              <w:rPr>
                <w:rFonts w:ascii="仿宋_GB2312" w:eastAsia="仿宋_GB2312" w:hAnsi="宋体" w:cs="宋体" w:hint="eastAsia"/>
                <w:spacing w:val="-4"/>
                <w:kern w:val="0"/>
                <w:szCs w:val="21"/>
              </w:rPr>
              <w:t>以上</w:t>
            </w:r>
          </w:p>
        </w:tc>
      </w:tr>
      <w:tr w:rsidR="009E0124">
        <w:trPr>
          <w:trHeight w:val="524"/>
          <w:jc w:val="center"/>
        </w:trPr>
        <w:tc>
          <w:tcPr>
            <w:tcW w:w="759" w:type="dxa"/>
            <w:vMerge w:val="restart"/>
            <w:shd w:val="clear" w:color="auto" w:fill="FFFF00"/>
            <w:vAlign w:val="center"/>
          </w:tcPr>
          <w:p w:rsidR="009E0124" w:rsidRDefault="009E0124">
            <w:pPr>
              <w:widowControl/>
              <w:spacing w:line="240" w:lineRule="atLeast"/>
              <w:jc w:val="center"/>
              <w:rPr>
                <w:rFonts w:ascii="仿宋_GB2312" w:eastAsia="仿宋_GB2312" w:hAnsi="宋体" w:cs="宋体"/>
                <w:b/>
                <w:spacing w:val="-4"/>
                <w:kern w:val="0"/>
                <w:szCs w:val="21"/>
              </w:rPr>
            </w:pPr>
            <w:r>
              <w:rPr>
                <w:rFonts w:ascii="仿宋_GB2312" w:eastAsia="仿宋_GB2312" w:hAnsi="宋体" w:cs="宋体" w:hint="eastAsia"/>
                <w:b/>
                <w:spacing w:val="-4"/>
                <w:kern w:val="0"/>
                <w:szCs w:val="21"/>
              </w:rPr>
              <w:t>直接</w:t>
            </w:r>
          </w:p>
          <w:p w:rsidR="009E0124" w:rsidRDefault="009E0124">
            <w:pPr>
              <w:widowControl/>
              <w:spacing w:line="240" w:lineRule="atLeast"/>
              <w:jc w:val="center"/>
              <w:rPr>
                <w:rFonts w:ascii="仿宋_GB2312" w:eastAsia="仿宋_GB2312" w:hAnsi="宋体" w:cs="宋体"/>
                <w:b/>
                <w:spacing w:val="-4"/>
                <w:kern w:val="0"/>
                <w:szCs w:val="21"/>
              </w:rPr>
            </w:pPr>
            <w:r>
              <w:rPr>
                <w:rFonts w:ascii="仿宋_GB2312" w:eastAsia="仿宋_GB2312" w:hAnsi="宋体" w:cs="宋体" w:hint="eastAsia"/>
                <w:b/>
                <w:spacing w:val="-4"/>
                <w:kern w:val="0"/>
                <w:szCs w:val="21"/>
              </w:rPr>
              <w:t>融资</w:t>
            </w: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11.</w:t>
            </w:r>
            <w:r>
              <w:rPr>
                <w:rFonts w:ascii="仿宋_GB2312" w:eastAsia="仿宋_GB2312" w:hAnsi="宋体" w:cs="宋体" w:hint="eastAsia"/>
                <w:b/>
                <w:spacing w:val="-4"/>
                <w:kern w:val="0"/>
                <w:szCs w:val="21"/>
              </w:rPr>
              <w:t>上市公司（含新“三板”）（家）</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10</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累计增加</w:t>
            </w:r>
            <w:r>
              <w:rPr>
                <w:rFonts w:ascii="仿宋_GB2312" w:eastAsia="仿宋_GB2312" w:hAnsi="宋体" w:cs="宋体"/>
                <w:spacing w:val="-4"/>
                <w:kern w:val="0"/>
                <w:szCs w:val="21"/>
              </w:rPr>
              <w:t>9</w:t>
            </w:r>
            <w:r w:rsidRPr="0053125F">
              <w:rPr>
                <w:rFonts w:ascii="仿宋_GB2312" w:eastAsia="仿宋_GB2312" w:hAnsi="宋体" w:cs="宋体" w:hint="eastAsia"/>
                <w:spacing w:val="-4"/>
                <w:kern w:val="0"/>
                <w:szCs w:val="21"/>
              </w:rPr>
              <w:t>家</w:t>
            </w:r>
          </w:p>
        </w:tc>
      </w:tr>
      <w:tr w:rsidR="009E0124">
        <w:trPr>
          <w:trHeight w:val="420"/>
          <w:jc w:val="center"/>
        </w:trPr>
        <w:tc>
          <w:tcPr>
            <w:tcW w:w="759" w:type="dxa"/>
            <w:vMerge/>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
                <w:spacing w:val="-4"/>
                <w:kern w:val="0"/>
                <w:szCs w:val="21"/>
              </w:rPr>
            </w:pPr>
          </w:p>
        </w:tc>
        <w:tc>
          <w:tcPr>
            <w:tcW w:w="2460" w:type="dxa"/>
            <w:vAlign w:val="center"/>
          </w:tcPr>
          <w:p w:rsidR="009E0124" w:rsidRDefault="009E0124">
            <w:pPr>
              <w:widowControl/>
              <w:spacing w:line="240" w:lineRule="atLeast"/>
              <w:rPr>
                <w:rFonts w:ascii="仿宋_GB2312" w:eastAsia="仿宋_GB2312" w:hAnsi="宋体" w:cs="宋体"/>
                <w:b/>
                <w:spacing w:val="-4"/>
                <w:kern w:val="0"/>
                <w:szCs w:val="21"/>
              </w:rPr>
            </w:pPr>
            <w:r>
              <w:rPr>
                <w:rFonts w:ascii="仿宋_GB2312" w:eastAsia="仿宋_GB2312" w:hAnsi="宋体" w:cs="宋体"/>
                <w:b/>
                <w:spacing w:val="-4"/>
                <w:kern w:val="0"/>
                <w:szCs w:val="21"/>
              </w:rPr>
              <w:t>12.</w:t>
            </w:r>
            <w:r>
              <w:rPr>
                <w:rFonts w:ascii="仿宋_GB2312" w:eastAsia="仿宋_GB2312" w:hAnsi="宋体" w:cs="宋体" w:hint="eastAsia"/>
                <w:b/>
                <w:spacing w:val="-4"/>
                <w:kern w:val="0"/>
                <w:szCs w:val="21"/>
              </w:rPr>
              <w:t>企业债券和票据融资（家）</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0</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2</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累计增加</w:t>
            </w:r>
            <w:r w:rsidRPr="0053125F">
              <w:rPr>
                <w:rFonts w:ascii="仿宋_GB2312" w:eastAsia="仿宋_GB2312" w:hAnsi="宋体" w:cs="宋体"/>
                <w:spacing w:val="-4"/>
                <w:kern w:val="0"/>
                <w:szCs w:val="21"/>
              </w:rPr>
              <w:t>2</w:t>
            </w:r>
            <w:r w:rsidRPr="0053125F">
              <w:rPr>
                <w:rFonts w:ascii="仿宋_GB2312" w:eastAsia="仿宋_GB2312" w:hAnsi="宋体" w:cs="宋体" w:hint="eastAsia"/>
                <w:spacing w:val="-4"/>
                <w:kern w:val="0"/>
                <w:szCs w:val="21"/>
              </w:rPr>
              <w:t>家</w:t>
            </w:r>
          </w:p>
        </w:tc>
      </w:tr>
      <w:tr w:rsidR="009E0124">
        <w:trPr>
          <w:trHeight w:val="420"/>
          <w:jc w:val="center"/>
        </w:trPr>
        <w:tc>
          <w:tcPr>
            <w:tcW w:w="759" w:type="dxa"/>
            <w:vMerge w:val="restart"/>
            <w:tcBorders>
              <w:bottom w:val="single" w:sz="8" w:space="0" w:color="auto"/>
            </w:tcBorders>
            <w:shd w:val="clear" w:color="auto" w:fill="FFFF00"/>
            <w:vAlign w:val="center"/>
          </w:tcPr>
          <w:p w:rsidR="009E0124" w:rsidRDefault="009E0124">
            <w:pPr>
              <w:widowControl/>
              <w:spacing w:line="240" w:lineRule="atLeast"/>
              <w:jc w:val="center"/>
              <w:rPr>
                <w:rFonts w:ascii="仿宋_GB2312" w:eastAsia="仿宋_GB2312" w:hAnsi="宋体" w:cs="宋体"/>
                <w:b/>
                <w:spacing w:val="-4"/>
                <w:kern w:val="0"/>
                <w:szCs w:val="21"/>
              </w:rPr>
            </w:pPr>
            <w:r>
              <w:rPr>
                <w:rFonts w:ascii="仿宋_GB2312" w:eastAsia="仿宋_GB2312" w:hAnsi="宋体" w:cs="宋体" w:hint="eastAsia"/>
                <w:b/>
                <w:spacing w:val="-4"/>
                <w:kern w:val="0"/>
                <w:szCs w:val="21"/>
              </w:rPr>
              <w:t>投资基金、股权投资</w:t>
            </w:r>
          </w:p>
        </w:tc>
        <w:tc>
          <w:tcPr>
            <w:tcW w:w="2460" w:type="dxa"/>
            <w:vAlign w:val="center"/>
          </w:tcPr>
          <w:p w:rsidR="009E0124" w:rsidRDefault="009E0124">
            <w:pPr>
              <w:widowControl/>
              <w:spacing w:line="240" w:lineRule="atLeast"/>
              <w:jc w:val="left"/>
              <w:rPr>
                <w:rFonts w:ascii="仿宋_GB2312" w:eastAsia="仿宋_GB2312" w:hAnsi="宋体" w:cs="宋体"/>
                <w:b/>
                <w:spacing w:val="-4"/>
                <w:kern w:val="0"/>
                <w:szCs w:val="21"/>
              </w:rPr>
            </w:pPr>
            <w:r>
              <w:rPr>
                <w:rFonts w:ascii="仿宋_GB2312" w:eastAsia="仿宋_GB2312" w:hAnsi="宋体" w:cs="宋体"/>
                <w:b/>
                <w:spacing w:val="-4"/>
                <w:kern w:val="0"/>
                <w:szCs w:val="21"/>
              </w:rPr>
              <w:t>13.</w:t>
            </w:r>
            <w:r>
              <w:rPr>
                <w:rFonts w:ascii="仿宋_GB2312" w:eastAsia="仿宋_GB2312" w:hAnsi="宋体" w:cs="宋体" w:hint="eastAsia"/>
                <w:b/>
                <w:spacing w:val="-4"/>
                <w:kern w:val="0"/>
                <w:szCs w:val="21"/>
              </w:rPr>
              <w:t>公私募投资基金（家）</w:t>
            </w:r>
          </w:p>
        </w:tc>
        <w:tc>
          <w:tcPr>
            <w:tcW w:w="1665" w:type="dxa"/>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0</w:t>
            </w:r>
          </w:p>
        </w:tc>
        <w:tc>
          <w:tcPr>
            <w:tcW w:w="1620" w:type="dxa"/>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1</w:t>
            </w:r>
          </w:p>
        </w:tc>
        <w:tc>
          <w:tcPr>
            <w:tcW w:w="2018" w:type="dxa"/>
            <w:gridSpan w:val="2"/>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累计增加</w:t>
            </w:r>
            <w:r w:rsidRPr="0053125F">
              <w:rPr>
                <w:rFonts w:ascii="仿宋_GB2312" w:eastAsia="仿宋_GB2312" w:hAnsi="宋体" w:cs="宋体"/>
                <w:spacing w:val="-4"/>
                <w:kern w:val="0"/>
                <w:szCs w:val="21"/>
              </w:rPr>
              <w:t>1</w:t>
            </w:r>
            <w:r w:rsidRPr="0053125F">
              <w:rPr>
                <w:rFonts w:ascii="仿宋_GB2312" w:eastAsia="仿宋_GB2312" w:hAnsi="宋体" w:cs="宋体" w:hint="eastAsia"/>
                <w:spacing w:val="-4"/>
                <w:kern w:val="0"/>
                <w:szCs w:val="21"/>
              </w:rPr>
              <w:t>家</w:t>
            </w:r>
          </w:p>
        </w:tc>
      </w:tr>
      <w:tr w:rsidR="009E0124">
        <w:trPr>
          <w:trHeight w:val="420"/>
          <w:jc w:val="center"/>
        </w:trPr>
        <w:tc>
          <w:tcPr>
            <w:tcW w:w="759" w:type="dxa"/>
            <w:vMerge/>
            <w:tcBorders>
              <w:bottom w:val="single" w:sz="8" w:space="0" w:color="auto"/>
            </w:tcBorders>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
                <w:spacing w:val="-4"/>
                <w:kern w:val="0"/>
                <w:szCs w:val="21"/>
              </w:rPr>
            </w:pPr>
          </w:p>
        </w:tc>
        <w:tc>
          <w:tcPr>
            <w:tcW w:w="2460" w:type="dxa"/>
            <w:tcBorders>
              <w:bottom w:val="single" w:sz="8" w:space="0" w:color="auto"/>
            </w:tcBorders>
            <w:vAlign w:val="center"/>
          </w:tcPr>
          <w:p w:rsidR="009E0124" w:rsidRDefault="009E0124">
            <w:pPr>
              <w:widowControl/>
              <w:spacing w:line="240" w:lineRule="atLeast"/>
              <w:jc w:val="left"/>
              <w:rPr>
                <w:rFonts w:ascii="仿宋_GB2312" w:eastAsia="仿宋_GB2312" w:hAnsi="宋体" w:cs="宋体"/>
                <w:b/>
                <w:spacing w:val="-4"/>
                <w:kern w:val="0"/>
                <w:szCs w:val="21"/>
              </w:rPr>
            </w:pPr>
            <w:r>
              <w:rPr>
                <w:rFonts w:ascii="仿宋_GB2312" w:eastAsia="仿宋_GB2312" w:hAnsi="宋体" w:cs="宋体"/>
                <w:b/>
                <w:spacing w:val="-4"/>
                <w:kern w:val="0"/>
                <w:szCs w:val="21"/>
              </w:rPr>
              <w:t>14.</w:t>
            </w:r>
            <w:r>
              <w:rPr>
                <w:rFonts w:ascii="仿宋_GB2312" w:eastAsia="仿宋_GB2312" w:hAnsi="宋体" w:cs="宋体" w:hint="eastAsia"/>
                <w:b/>
                <w:spacing w:val="-4"/>
                <w:kern w:val="0"/>
                <w:szCs w:val="21"/>
              </w:rPr>
              <w:t>股权投资、资产管理机构（家）</w:t>
            </w:r>
          </w:p>
        </w:tc>
        <w:tc>
          <w:tcPr>
            <w:tcW w:w="1665" w:type="dxa"/>
            <w:tcBorders>
              <w:bottom w:val="single" w:sz="8" w:space="0" w:color="auto"/>
            </w:tcBorders>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1</w:t>
            </w:r>
          </w:p>
        </w:tc>
        <w:tc>
          <w:tcPr>
            <w:tcW w:w="1620" w:type="dxa"/>
            <w:tcBorders>
              <w:bottom w:val="single" w:sz="8" w:space="0" w:color="auto"/>
            </w:tcBorders>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3</w:t>
            </w:r>
          </w:p>
        </w:tc>
        <w:tc>
          <w:tcPr>
            <w:tcW w:w="2018" w:type="dxa"/>
            <w:gridSpan w:val="2"/>
            <w:tcBorders>
              <w:bottom w:val="single" w:sz="8" w:space="0" w:color="auto"/>
            </w:tcBorders>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累计增加</w:t>
            </w:r>
            <w:r w:rsidRPr="0053125F">
              <w:rPr>
                <w:rFonts w:ascii="仿宋_GB2312" w:eastAsia="仿宋_GB2312" w:hAnsi="宋体" w:cs="宋体"/>
                <w:spacing w:val="-4"/>
                <w:kern w:val="0"/>
                <w:szCs w:val="21"/>
              </w:rPr>
              <w:t>2</w:t>
            </w:r>
            <w:r w:rsidRPr="0053125F">
              <w:rPr>
                <w:rFonts w:ascii="仿宋_GB2312" w:eastAsia="仿宋_GB2312" w:hAnsi="宋体" w:cs="宋体" w:hint="eastAsia"/>
                <w:spacing w:val="-4"/>
                <w:kern w:val="0"/>
                <w:szCs w:val="21"/>
              </w:rPr>
              <w:t>家</w:t>
            </w:r>
          </w:p>
        </w:tc>
      </w:tr>
      <w:tr w:rsidR="009E0124">
        <w:trPr>
          <w:trHeight w:val="434"/>
          <w:jc w:val="center"/>
        </w:trPr>
        <w:tc>
          <w:tcPr>
            <w:tcW w:w="759" w:type="dxa"/>
            <w:vMerge/>
            <w:tcBorders>
              <w:bottom w:val="single" w:sz="8" w:space="0" w:color="auto"/>
            </w:tcBorders>
            <w:shd w:val="clear" w:color="auto" w:fill="FFFF00"/>
            <w:vAlign w:val="center"/>
          </w:tcPr>
          <w:p w:rsidR="009E0124" w:rsidRDefault="009E0124" w:rsidP="009E0124">
            <w:pPr>
              <w:widowControl/>
              <w:spacing w:line="240" w:lineRule="atLeast"/>
              <w:ind w:firstLineChars="200" w:firstLine="31680"/>
              <w:jc w:val="center"/>
              <w:rPr>
                <w:rFonts w:ascii="仿宋_GB2312" w:eastAsia="仿宋_GB2312" w:hAnsi="宋体" w:cs="宋体"/>
                <w:b/>
                <w:spacing w:val="-4"/>
                <w:kern w:val="0"/>
                <w:szCs w:val="21"/>
              </w:rPr>
            </w:pPr>
          </w:p>
        </w:tc>
        <w:tc>
          <w:tcPr>
            <w:tcW w:w="2460" w:type="dxa"/>
            <w:tcBorders>
              <w:bottom w:val="single" w:sz="8" w:space="0" w:color="auto"/>
            </w:tcBorders>
            <w:vAlign w:val="center"/>
          </w:tcPr>
          <w:p w:rsidR="009E0124" w:rsidRDefault="009E0124">
            <w:pPr>
              <w:widowControl/>
              <w:spacing w:line="240" w:lineRule="atLeast"/>
              <w:jc w:val="left"/>
              <w:rPr>
                <w:rFonts w:ascii="仿宋_GB2312" w:eastAsia="仿宋_GB2312" w:hAnsi="宋体" w:cs="宋体"/>
                <w:b/>
                <w:spacing w:val="-4"/>
                <w:kern w:val="0"/>
                <w:szCs w:val="21"/>
              </w:rPr>
            </w:pPr>
            <w:r>
              <w:rPr>
                <w:rFonts w:ascii="仿宋_GB2312" w:eastAsia="仿宋_GB2312" w:hAnsi="宋体" w:cs="宋体"/>
                <w:b/>
                <w:spacing w:val="-4"/>
                <w:kern w:val="0"/>
                <w:szCs w:val="21"/>
              </w:rPr>
              <w:t>15.</w:t>
            </w:r>
            <w:r>
              <w:rPr>
                <w:rFonts w:ascii="仿宋_GB2312" w:eastAsia="仿宋_GB2312" w:hAnsi="宋体" w:cs="宋体" w:hint="eastAsia"/>
                <w:b/>
                <w:spacing w:val="-4"/>
                <w:kern w:val="0"/>
                <w:szCs w:val="21"/>
              </w:rPr>
              <w:t>产业投资基金（只）</w:t>
            </w:r>
          </w:p>
        </w:tc>
        <w:tc>
          <w:tcPr>
            <w:tcW w:w="1665" w:type="dxa"/>
            <w:tcBorders>
              <w:bottom w:val="single" w:sz="8" w:space="0" w:color="auto"/>
            </w:tcBorders>
            <w:vAlign w:val="center"/>
          </w:tcPr>
          <w:p w:rsidR="009E0124"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Pr>
                <w:rFonts w:ascii="仿宋_GB2312" w:eastAsia="仿宋_GB2312" w:hAnsi="宋体" w:cs="宋体"/>
                <w:spacing w:val="-4"/>
                <w:kern w:val="0"/>
                <w:szCs w:val="21"/>
              </w:rPr>
              <w:t>0</w:t>
            </w:r>
          </w:p>
        </w:tc>
        <w:tc>
          <w:tcPr>
            <w:tcW w:w="1620" w:type="dxa"/>
            <w:tcBorders>
              <w:bottom w:val="single" w:sz="8" w:space="0" w:color="auto"/>
            </w:tcBorders>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spacing w:val="-4"/>
                <w:kern w:val="0"/>
                <w:szCs w:val="21"/>
              </w:rPr>
              <w:t>2</w:t>
            </w:r>
          </w:p>
        </w:tc>
        <w:tc>
          <w:tcPr>
            <w:tcW w:w="2018" w:type="dxa"/>
            <w:gridSpan w:val="2"/>
            <w:tcBorders>
              <w:bottom w:val="single" w:sz="8" w:space="0" w:color="auto"/>
            </w:tcBorders>
            <w:vAlign w:val="center"/>
          </w:tcPr>
          <w:p w:rsidR="009E0124" w:rsidRPr="0053125F" w:rsidRDefault="009E0124" w:rsidP="009E0124">
            <w:pPr>
              <w:widowControl/>
              <w:spacing w:line="240" w:lineRule="atLeast"/>
              <w:ind w:firstLineChars="200" w:firstLine="31680"/>
              <w:jc w:val="center"/>
              <w:rPr>
                <w:rFonts w:ascii="仿宋_GB2312" w:eastAsia="仿宋_GB2312" w:hAnsi="宋体" w:cs="宋体"/>
                <w:spacing w:val="-4"/>
                <w:kern w:val="0"/>
                <w:szCs w:val="21"/>
              </w:rPr>
            </w:pPr>
            <w:r w:rsidRPr="0053125F">
              <w:rPr>
                <w:rFonts w:ascii="仿宋_GB2312" w:eastAsia="仿宋_GB2312" w:hAnsi="宋体" w:cs="宋体" w:hint="eastAsia"/>
                <w:spacing w:val="-4"/>
                <w:kern w:val="0"/>
                <w:szCs w:val="21"/>
              </w:rPr>
              <w:t>累计增加</w:t>
            </w:r>
            <w:r w:rsidRPr="0053125F">
              <w:rPr>
                <w:rFonts w:ascii="仿宋_GB2312" w:eastAsia="仿宋_GB2312" w:hAnsi="宋体" w:cs="宋体"/>
                <w:spacing w:val="-4"/>
                <w:kern w:val="0"/>
                <w:szCs w:val="21"/>
              </w:rPr>
              <w:t>2</w:t>
            </w:r>
            <w:r w:rsidRPr="0053125F">
              <w:rPr>
                <w:rFonts w:ascii="仿宋_GB2312" w:eastAsia="仿宋_GB2312" w:hAnsi="宋体" w:cs="宋体" w:hint="eastAsia"/>
                <w:spacing w:val="-4"/>
                <w:kern w:val="0"/>
                <w:szCs w:val="21"/>
              </w:rPr>
              <w:t>只</w:t>
            </w:r>
          </w:p>
        </w:tc>
      </w:tr>
    </w:tbl>
    <w:p w:rsidR="009E0124" w:rsidRDefault="009E0124" w:rsidP="009E0124">
      <w:pPr>
        <w:pStyle w:val="NormalWeb"/>
        <w:shd w:val="clear" w:color="auto" w:fill="FFFFFF"/>
        <w:spacing w:beforeAutospacing="0" w:afterAutospacing="0" w:line="240" w:lineRule="atLeast"/>
        <w:ind w:firstLineChars="200" w:firstLine="31680"/>
        <w:jc w:val="center"/>
        <w:rPr>
          <w:rStyle w:val="Strong"/>
          <w:rFonts w:ascii="黑体" w:eastAsia="黑体"/>
          <w:b/>
          <w:bCs/>
          <w:sz w:val="32"/>
          <w:szCs w:val="32"/>
        </w:rPr>
      </w:pPr>
    </w:p>
    <w:p w:rsidR="009E0124" w:rsidRDefault="009E0124" w:rsidP="00255870">
      <w:pPr>
        <w:pStyle w:val="NormalWeb"/>
        <w:shd w:val="clear" w:color="auto" w:fill="FFFFFF"/>
        <w:spacing w:beforeAutospacing="0" w:afterAutospacing="0" w:line="240" w:lineRule="atLeast"/>
        <w:ind w:firstLineChars="200" w:firstLine="31680"/>
        <w:jc w:val="center"/>
        <w:rPr>
          <w:rStyle w:val="Strong"/>
          <w:rFonts w:ascii="仿宋_GB2312" w:eastAsia="仿宋_GB2312" w:hAnsi="仿宋_GB2312" w:cs="仿宋_GB2312"/>
          <w:b/>
          <w:bCs/>
          <w:sz w:val="36"/>
          <w:szCs w:val="36"/>
        </w:rPr>
      </w:pPr>
      <w:r w:rsidRPr="00F30000">
        <w:rPr>
          <w:rStyle w:val="Strong"/>
          <w:rFonts w:ascii="黑体" w:eastAsia="黑体"/>
          <w:b/>
          <w:bCs/>
          <w:sz w:val="36"/>
          <w:szCs w:val="36"/>
        </w:rPr>
        <w:t xml:space="preserve">  </w:t>
      </w:r>
      <w:r w:rsidRPr="00F30000">
        <w:rPr>
          <w:rStyle w:val="Strong"/>
          <w:rFonts w:ascii="仿宋_GB2312" w:eastAsia="仿宋_GB2312" w:hAnsi="仿宋_GB2312" w:cs="仿宋_GB2312" w:hint="eastAsia"/>
          <w:b/>
          <w:bCs/>
          <w:sz w:val="36"/>
          <w:szCs w:val="36"/>
        </w:rPr>
        <w:t>第三章</w:t>
      </w:r>
      <w:r w:rsidRPr="00F30000">
        <w:rPr>
          <w:rStyle w:val="Strong"/>
          <w:rFonts w:ascii="仿宋_GB2312" w:eastAsia="仿宋_GB2312" w:hAnsi="仿宋_GB2312" w:cs="仿宋_GB2312"/>
          <w:b/>
          <w:bCs/>
          <w:sz w:val="36"/>
          <w:szCs w:val="36"/>
        </w:rPr>
        <w:t xml:space="preserve">  </w:t>
      </w:r>
      <w:r w:rsidRPr="00F30000">
        <w:rPr>
          <w:rStyle w:val="Strong"/>
          <w:rFonts w:ascii="仿宋_GB2312" w:eastAsia="仿宋_GB2312" w:hAnsi="仿宋_GB2312" w:cs="仿宋_GB2312" w:hint="eastAsia"/>
          <w:b/>
          <w:bCs/>
          <w:sz w:val="36"/>
          <w:szCs w:val="36"/>
        </w:rPr>
        <w:t>主要任务</w:t>
      </w:r>
    </w:p>
    <w:p w:rsidR="009E0124" w:rsidRPr="00F30000" w:rsidRDefault="009E0124" w:rsidP="00255870">
      <w:pPr>
        <w:pStyle w:val="NormalWeb"/>
        <w:shd w:val="clear" w:color="auto" w:fill="FFFFFF"/>
        <w:spacing w:beforeAutospacing="0" w:afterAutospacing="0" w:line="240" w:lineRule="atLeast"/>
        <w:ind w:firstLineChars="200" w:firstLine="31680"/>
        <w:jc w:val="center"/>
        <w:rPr>
          <w:rStyle w:val="Strong"/>
          <w:rFonts w:ascii="仿宋_GB2312" w:eastAsia="仿宋_GB2312" w:hAnsi="仿宋_GB2312" w:cs="仿宋_GB2312"/>
          <w:b/>
          <w:bCs/>
          <w:sz w:val="36"/>
          <w:szCs w:val="36"/>
        </w:rPr>
      </w:pPr>
    </w:p>
    <w:p w:rsidR="009E0124" w:rsidRDefault="009E0124" w:rsidP="00255870">
      <w:pPr>
        <w:pStyle w:val="NormalWeb"/>
        <w:widowControl/>
        <w:shd w:val="clear" w:color="auto" w:fill="FFFFFF"/>
        <w:spacing w:beforeAutospacing="0" w:afterAutospacing="0" w:line="240" w:lineRule="atLeast"/>
        <w:ind w:firstLineChars="200" w:firstLine="31680"/>
        <w:jc w:val="both"/>
        <w:rPr>
          <w:rStyle w:val="Strong"/>
          <w:rFonts w:ascii="仿宋_GB2312" w:eastAsia="仿宋_GB2312" w:hAnsi="仿宋_GB2312" w:cs="仿宋_GB2312"/>
          <w:b/>
          <w:bCs/>
          <w:sz w:val="32"/>
          <w:szCs w:val="32"/>
        </w:rPr>
      </w:pPr>
      <w:r>
        <w:rPr>
          <w:rStyle w:val="Strong"/>
          <w:rFonts w:ascii="仿宋_GB2312" w:eastAsia="仿宋_GB2312" w:hAnsi="仿宋_GB2312" w:cs="仿宋_GB2312" w:hint="eastAsia"/>
          <w:b/>
          <w:bCs/>
          <w:sz w:val="32"/>
          <w:szCs w:val="32"/>
        </w:rPr>
        <w:t>一、优化金融结构，构建现代金融体系</w:t>
      </w:r>
    </w:p>
    <w:p w:rsidR="009E0124" w:rsidRPr="00F31000"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sz w:val="32"/>
          <w:szCs w:val="32"/>
        </w:rPr>
      </w:pPr>
      <w:r w:rsidRPr="00F31000">
        <w:rPr>
          <w:rFonts w:ascii="仿宋_GB2312" w:eastAsia="仿宋_GB2312" w:hint="eastAsia"/>
          <w:sz w:val="32"/>
          <w:szCs w:val="32"/>
        </w:rPr>
        <w:t>坚持引入增量和改革存量并重，建立新机构与建立新机制并重，调整和优化金融结构，加快形成有利于创新发展的现代金融体系。</w:t>
      </w:r>
    </w:p>
    <w:p w:rsidR="009E0124" w:rsidRPr="00F31000"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sz w:val="32"/>
          <w:szCs w:val="32"/>
        </w:rPr>
      </w:pP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一</w:t>
      </w:r>
      <w:r>
        <w:rPr>
          <w:rFonts w:ascii="仿宋_GB2312" w:eastAsia="仿宋_GB2312" w:hAnsi="仿宋_GB2312" w:cs="仿宋_GB2312"/>
          <w:b/>
          <w:bCs/>
          <w:kern w:val="2"/>
          <w:sz w:val="32"/>
          <w:szCs w:val="32"/>
        </w:rPr>
        <w:t>)</w:t>
      </w:r>
      <w:r>
        <w:rPr>
          <w:rFonts w:ascii="仿宋_GB2312" w:eastAsia="仿宋_GB2312" w:hAnsi="仿宋_GB2312" w:cs="仿宋_GB2312" w:hint="eastAsia"/>
          <w:b/>
          <w:bCs/>
          <w:kern w:val="2"/>
          <w:sz w:val="32"/>
          <w:szCs w:val="32"/>
        </w:rPr>
        <w:t>优化组织结构。</w:t>
      </w:r>
      <w:r w:rsidRPr="00F31000">
        <w:rPr>
          <w:rFonts w:ascii="仿宋_GB2312" w:eastAsia="仿宋_GB2312" w:hint="eastAsia"/>
          <w:sz w:val="32"/>
          <w:szCs w:val="32"/>
        </w:rPr>
        <w:t>调整以银行业为主导的金融结构，构建分工合理、优势互补、功能完备的金融机构体系。发挥侨资优势，争取政策支持，筹建各类华侨民营金融机构。规范发展第三方支付、众筹、</w:t>
      </w:r>
      <w:r w:rsidRPr="00F31000">
        <w:rPr>
          <w:rFonts w:ascii="仿宋_GB2312" w:eastAsia="仿宋_GB2312"/>
          <w:sz w:val="32"/>
          <w:szCs w:val="32"/>
        </w:rPr>
        <w:t>P2P</w:t>
      </w:r>
      <w:r w:rsidRPr="00F31000">
        <w:rPr>
          <w:rFonts w:ascii="仿宋_GB2312" w:eastAsia="仿宋_GB2312" w:hint="eastAsia"/>
          <w:sz w:val="32"/>
          <w:szCs w:val="32"/>
        </w:rPr>
        <w:t>等互联网金融平台。引进具有先进管理经验和金融服务能力的民间资本投资、居民财富管理、股权投资基金等各类新型金融组织。鼓励大型民营企业组建融资租赁公司、金融消费公司和企业财务公司。培育一批标志性的本土基金管理公司。设立政府产业投资基金，建立产业投资引导机制，推动各类子基金进行项目投资。鼓励证券、保险等金融机构在青田设立分支机构，支持现有的证券、保险等金融机构做强做大。</w:t>
      </w:r>
      <w:r w:rsidRPr="0053125F">
        <w:rPr>
          <w:rFonts w:ascii="仿宋_GB2312" w:eastAsia="仿宋_GB2312" w:hint="eastAsia"/>
          <w:sz w:val="32"/>
          <w:szCs w:val="32"/>
        </w:rPr>
        <w:t>发展农村小额保险业务、推动村级担保互助社等各类惠农合作组织发展，更好地满足农村多样化的金融服务需求。</w:t>
      </w:r>
      <w:r w:rsidRPr="00F31000">
        <w:rPr>
          <w:rFonts w:ascii="仿宋_GB2312" w:eastAsia="仿宋_GB2312" w:hint="eastAsia"/>
          <w:sz w:val="32"/>
          <w:szCs w:val="32"/>
        </w:rPr>
        <w:t>支持融资性担保机构、小额贷款公司和典当公司等各种类金融机构有序发展。引导设立法律服务、资产评估、投资咨询等相关的金融中介服务机构。</w:t>
      </w:r>
    </w:p>
    <w:p w:rsidR="009E0124" w:rsidRPr="00F31000"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sz w:val="32"/>
          <w:szCs w:val="32"/>
        </w:rPr>
      </w:pPr>
      <w:r>
        <w:rPr>
          <w:rFonts w:ascii="仿宋_GB2312" w:eastAsia="仿宋_GB2312" w:hAnsi="仿宋_GB2312" w:cs="仿宋_GB2312" w:hint="eastAsia"/>
          <w:b/>
          <w:bCs/>
          <w:kern w:val="2"/>
          <w:sz w:val="32"/>
          <w:szCs w:val="32"/>
        </w:rPr>
        <w:t>（二）优化融资结构。</w:t>
      </w:r>
      <w:r w:rsidRPr="00F31000">
        <w:rPr>
          <w:rFonts w:ascii="仿宋_GB2312" w:eastAsia="仿宋_GB2312" w:hint="eastAsia"/>
          <w:sz w:val="32"/>
          <w:szCs w:val="32"/>
        </w:rPr>
        <w:t>拓展融资渠道，扩大企业债券和股本融资规模，提高直接融资比重，逐步改变以银行业间接融资为主的融资结构。完善企业上市工作体系，建立挂牌上市后备企业资源库，鼓励企业股份制改造，支持成长型、科技型、创新型企业在境内外资本市场和省股权交易平台融资，加快形成“青田板块”，并支持已上市公司采取增发、配股或发行公司债等方式扩大融资规模。引导小额贷款公司开展定向债试点，做优做精小额贷款公司。积极推进信贷资产证券化，探索住房公积金贷款证券化，盘活存量资产，扩大资金来源。引导符合债券发行条件的中小企业独立或联合公开发行企业债券，满足中长期发展需求。鼓励企业在银行间债券市场发行短期融资券，拓宽融资渠道、降低融资成本。</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23"/>
        </w:trPr>
        <w:tc>
          <w:tcPr>
            <w:tcW w:w="8472" w:type="dxa"/>
            <w:shd w:val="clear" w:color="auto" w:fill="00B050"/>
          </w:tcPr>
          <w:p w:rsidR="009E0124" w:rsidRDefault="009E0124" w:rsidP="009E0124">
            <w:pPr>
              <w:spacing w:line="560" w:lineRule="exac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3 </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信贷资产证券化</w:t>
            </w:r>
          </w:p>
        </w:tc>
      </w:tr>
      <w:tr w:rsidR="009E0124">
        <w:trPr>
          <w:trHeight w:val="90"/>
        </w:trPr>
        <w:tc>
          <w:tcPr>
            <w:tcW w:w="8472" w:type="dxa"/>
          </w:tcPr>
          <w:p w:rsidR="009E0124" w:rsidRDefault="009E0124" w:rsidP="009E0124">
            <w:pPr>
              <w:spacing w:line="240" w:lineRule="atLeast"/>
              <w:ind w:firstLineChars="200" w:firstLine="31680"/>
              <w:rPr>
                <w:rFonts w:ascii="仿宋_GB2312" w:eastAsia="仿宋_GB2312" w:hAnsi="仿宋_GB2312" w:cs="仿宋_GB2312"/>
                <w:szCs w:val="21"/>
              </w:rPr>
            </w:pPr>
            <w:r>
              <w:rPr>
                <w:rFonts w:ascii="仿宋_GB2312" w:eastAsia="仿宋_GB2312" w:hAnsi="仿宋_GB2312" w:cs="仿宋_GB2312" w:hint="eastAsia"/>
                <w:b/>
                <w:bCs/>
                <w:szCs w:val="21"/>
              </w:rPr>
              <w:t>信贷资产证券化：</w:t>
            </w:r>
            <w:r>
              <w:rPr>
                <w:rFonts w:ascii="仿宋_GB2312" w:eastAsia="仿宋_GB2312" w:hAnsi="仿宋_GB2312" w:cs="仿宋_GB2312" w:hint="eastAsia"/>
                <w:szCs w:val="21"/>
              </w:rPr>
              <w:t>以特定信贷资产组合或特定现金流为支持，发行可交易证券的一种融资形式。信贷资产证券化可分为住房抵押贷款支持证券化和资产支持证券化。</w:t>
            </w:r>
          </w:p>
          <w:p w:rsidR="009E0124" w:rsidRDefault="009E0124" w:rsidP="009E0124">
            <w:pPr>
              <w:spacing w:line="240" w:lineRule="atLeast"/>
              <w:ind w:firstLineChars="200" w:firstLine="31680"/>
              <w:rPr>
                <w:rFonts w:ascii="仿宋_GB2312" w:eastAsia="仿宋_GB2312" w:hAnsi="仿宋_GB2312" w:cs="仿宋_GB2312"/>
                <w:szCs w:val="21"/>
              </w:rPr>
            </w:pPr>
            <w:r>
              <w:rPr>
                <w:rFonts w:ascii="仿宋_GB2312" w:eastAsia="仿宋_GB2312" w:hAnsi="仿宋_GB2312" w:cs="仿宋_GB2312" w:hint="eastAsia"/>
                <w:b/>
                <w:bCs/>
                <w:szCs w:val="21"/>
              </w:rPr>
              <w:t>信贷资产证券化的目的：</w:t>
            </w:r>
            <w:r>
              <w:rPr>
                <w:rFonts w:ascii="仿宋_GB2312" w:eastAsia="仿宋_GB2312" w:hAnsi="仿宋_GB2312" w:cs="仿宋_GB2312" w:hint="eastAsia"/>
                <w:szCs w:val="21"/>
              </w:rPr>
              <w:t>将缺乏流动性的信贷资产提前变现，解决流动性风险。</w:t>
            </w:r>
          </w:p>
          <w:p w:rsidR="009E0124" w:rsidRDefault="009E0124" w:rsidP="009E0124">
            <w:pPr>
              <w:spacing w:line="240" w:lineRule="atLeast"/>
              <w:ind w:firstLineChars="200" w:firstLine="31680"/>
              <w:rPr>
                <w:rFonts w:ascii="仿宋_GB2312" w:eastAsia="仿宋_GB2312" w:hAnsi="仿宋_GB2312" w:cs="仿宋_GB2312"/>
                <w:szCs w:val="21"/>
              </w:rPr>
            </w:pPr>
            <w:r>
              <w:rPr>
                <w:rFonts w:ascii="仿宋_GB2312" w:eastAsia="仿宋_GB2312" w:hAnsi="仿宋_GB2312" w:cs="仿宋_GB2312" w:hint="eastAsia"/>
                <w:b/>
                <w:bCs/>
                <w:szCs w:val="21"/>
              </w:rPr>
              <w:t>信贷资产证券化的意义：</w:t>
            </w:r>
            <w:r>
              <w:rPr>
                <w:rFonts w:ascii="仿宋_GB2312" w:eastAsia="仿宋_GB2312" w:hAnsi="仿宋_GB2312" w:cs="仿宋_GB2312" w:hint="eastAsia"/>
                <w:szCs w:val="21"/>
              </w:rPr>
              <w:t>一是增强资产的流动性，二是获得低成本融资，三是减少风险资产，四是便于进行资产负债管理。</w:t>
            </w:r>
          </w:p>
          <w:p w:rsidR="009E0124" w:rsidRDefault="009E0124" w:rsidP="009E0124">
            <w:pPr>
              <w:spacing w:line="240" w:lineRule="atLeast"/>
              <w:ind w:firstLineChars="200" w:firstLine="31680"/>
              <w:rPr>
                <w:rFonts w:ascii="仿宋_GB2312" w:eastAsia="仿宋_GB2312" w:hAnsi="仿宋"/>
              </w:rPr>
            </w:pPr>
          </w:p>
        </w:tc>
      </w:tr>
    </w:tbl>
    <w:p w:rsidR="009E0124" w:rsidRPr="00F31000" w:rsidRDefault="009E0124" w:rsidP="009E0124">
      <w:pPr>
        <w:pStyle w:val="NormalWeb"/>
        <w:shd w:val="clear" w:color="auto" w:fill="FFFFFF"/>
        <w:spacing w:beforeAutospacing="0" w:afterAutospacing="0" w:line="560" w:lineRule="exact"/>
        <w:ind w:firstLineChars="200" w:firstLine="31680"/>
        <w:jc w:val="both"/>
        <w:rPr>
          <w:rFonts w:ascii="仿宋_GB2312" w:eastAsia="仿宋_GB2312"/>
          <w:sz w:val="32"/>
          <w:szCs w:val="32"/>
        </w:rPr>
      </w:pPr>
      <w:r>
        <w:rPr>
          <w:rFonts w:ascii="仿宋_GB2312" w:eastAsia="仿宋_GB2312" w:hAnsi="仿宋_GB2312" w:cs="仿宋_GB2312" w:hint="eastAsia"/>
          <w:b/>
          <w:bCs/>
          <w:kern w:val="2"/>
          <w:sz w:val="32"/>
          <w:szCs w:val="32"/>
        </w:rPr>
        <w:t>（三）优化投资结构。</w:t>
      </w:r>
      <w:r w:rsidRPr="00F31000">
        <w:rPr>
          <w:rFonts w:ascii="仿宋_GB2312" w:eastAsia="仿宋_GB2312" w:hint="eastAsia"/>
          <w:sz w:val="32"/>
          <w:szCs w:val="32"/>
        </w:rPr>
        <w:t>完善各种所有制经济金融主体依法平等参与市场竞争的良好制度环境，不断拓宽民间资本投资渠道。支持民间资本通过参与地方法人银行机构和新型金融组织重组改制、增资扩股等方式依法平等进入金融业，稳步提高民间资本在法人金融机构的股权比重。鼓励民间资本发起成立民营资产管理公司，参与银行不良贷款处置、受托资产管理、企业资产重组及项目融资等业务。加强政府和民间资本合作，引导民间资本通过参与政府各类产业投资基金，以股权投资方式以及委托贷款方式进入政府基础设施和公用事业领域。鼓励民间资本联合龙头企业和优势企业开展跨区域、跨行业兼并收购等资本经营。</w:t>
      </w:r>
      <w:r w:rsidRPr="0053125F">
        <w:rPr>
          <w:rFonts w:ascii="仿宋_GB2312" w:eastAsia="仿宋_GB2312" w:hint="eastAsia"/>
          <w:sz w:val="32"/>
          <w:szCs w:val="32"/>
        </w:rPr>
        <w:t>建立和健全保险资金与重大项目的对接机制，吸引保险资金以债权投资计划、股权投资计划等多种形式，为重大基础设施、城镇化建设等民生项目和重点工程，以及科技型企业、小微企业、战略性新兴产业等提供长期资金支持。</w:t>
      </w:r>
      <w:r w:rsidRPr="00F31000">
        <w:rPr>
          <w:rFonts w:ascii="仿宋_GB2312" w:eastAsia="仿宋_GB2312" w:hint="eastAsia"/>
          <w:sz w:val="32"/>
          <w:szCs w:val="32"/>
        </w:rPr>
        <w:t>支持民间融资服务中心规范发展，发挥其登记备案、信息中介、规范交易和信用保障的功能，推动民间融资规范化、阳光化、法制化，更好发挥民间融资对正规金融的补充作用。</w:t>
      </w:r>
    </w:p>
    <w:p w:rsidR="009E0124" w:rsidRDefault="009E0124" w:rsidP="00255870">
      <w:pPr>
        <w:pStyle w:val="NormalWeb"/>
        <w:widowControl/>
        <w:shd w:val="clear" w:color="auto" w:fill="FFFFFF"/>
        <w:spacing w:beforeAutospacing="0" w:afterAutospacing="0" w:line="560" w:lineRule="exac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二、促进金融转型，加快转变发展方式</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适应外部金融生态环境的变化，树立社会责任意识，转变服务理念，创新服务模式，加快推动金融转型，促进金融发展方式转变。</w:t>
      </w:r>
    </w:p>
    <w:p w:rsidR="009E0124" w:rsidRDefault="009E0124" w:rsidP="00F31000">
      <w:pPr>
        <w:pStyle w:val="NormalWeb"/>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b/>
          <w:bCs/>
          <w:kern w:val="2"/>
          <w:sz w:val="32"/>
          <w:szCs w:val="32"/>
        </w:rPr>
        <w:t xml:space="preserve">   </w:t>
      </w:r>
      <w:r>
        <w:rPr>
          <w:rFonts w:ascii="仿宋_GB2312" w:eastAsia="仿宋_GB2312" w:hAnsi="仿宋_GB2312" w:cs="仿宋_GB2312" w:hint="eastAsia"/>
          <w:b/>
          <w:bCs/>
          <w:kern w:val="2"/>
          <w:sz w:val="32"/>
          <w:szCs w:val="32"/>
        </w:rPr>
        <w:t>（一）加快银行机构转型。</w:t>
      </w:r>
      <w:r>
        <w:rPr>
          <w:rFonts w:ascii="仿宋_GB2312" w:eastAsia="仿宋_GB2312" w:hAnsi="仿宋_GB2312" w:cs="仿宋_GB2312" w:hint="eastAsia"/>
          <w:sz w:val="32"/>
          <w:szCs w:val="32"/>
        </w:rPr>
        <w:t>构建新型金融商业模式，加快推进银行业转型。打造“交易型银行”，改变传统以信贷业务为主的金融服务模式，向以交易活动为中心的综合化服务转型，为客户提供融资、结算、现金管理、财务顾问等一揽子服务，使资金能沿着产业链、价值链、物流链顺畅流动，推动金融服务向更高层次提升；同时，鼓励银行业金融机构发行同业存单和大额存单，提高主动负债管理能力。打造“财富管理型银行”，开展多元化的金融资产配置服务，为高净值客户提供私人银行和贵宾理财专属服务，并为大众客户提供低门槛、多元化的优质产品，增加居民财产性收入。打造“网络型银行”，实施“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”战略，运用互联网技术打破传统的银行业务边界，形成线上线下一体化的泛金融服务平台，创新金融产品和服务方式，创新风险管理手段，促进“金融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产业”跨界融合发展，提高服务实体经济的效率。</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23"/>
        </w:trPr>
        <w:tc>
          <w:tcPr>
            <w:tcW w:w="8472" w:type="dxa"/>
            <w:shd w:val="clear" w:color="auto" w:fill="00B050"/>
          </w:tcPr>
          <w:p w:rsidR="009E0124" w:rsidRDefault="009E0124" w:rsidP="009E0124">
            <w:pPr>
              <w:spacing w:line="560" w:lineRule="exac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4 </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“金融</w:t>
            </w:r>
            <w:r>
              <w:rPr>
                <w:rFonts w:ascii="仿宋_GB2312" w:eastAsia="仿宋_GB2312" w:hAnsi="仿宋_GB2312" w:cs="仿宋_GB2312"/>
                <w:b/>
                <w:bCs/>
                <w:sz w:val="28"/>
                <w:szCs w:val="28"/>
              </w:rPr>
              <w:t>+</w:t>
            </w:r>
            <w:r>
              <w:rPr>
                <w:rFonts w:ascii="仿宋_GB2312" w:eastAsia="仿宋_GB2312" w:hAnsi="仿宋_GB2312" w:cs="仿宋_GB2312" w:hint="eastAsia"/>
                <w:b/>
                <w:bCs/>
                <w:sz w:val="28"/>
                <w:szCs w:val="28"/>
              </w:rPr>
              <w:t>产业”跨界融合模式</w:t>
            </w:r>
          </w:p>
        </w:tc>
      </w:tr>
      <w:tr w:rsidR="009E0124">
        <w:trPr>
          <w:trHeight w:val="90"/>
        </w:trPr>
        <w:tc>
          <w:tcPr>
            <w:tcW w:w="8472" w:type="dxa"/>
          </w:tcPr>
          <w:p w:rsidR="009E0124" w:rsidRDefault="009E0124" w:rsidP="009E0124">
            <w:pPr>
              <w:spacing w:line="240" w:lineRule="atLeast"/>
              <w:ind w:firstLineChars="200" w:firstLine="3168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“金融</w:t>
            </w:r>
            <w:r>
              <w:rPr>
                <w:rFonts w:ascii="仿宋_GB2312" w:eastAsia="仿宋_GB2312" w:hAnsi="仿宋_GB2312" w:cs="仿宋_GB2312"/>
                <w:szCs w:val="21"/>
                <w:shd w:val="clear" w:color="auto" w:fill="FFFFFF"/>
              </w:rPr>
              <w:t>+</w:t>
            </w:r>
            <w:r>
              <w:rPr>
                <w:rFonts w:ascii="仿宋_GB2312" w:eastAsia="仿宋_GB2312" w:hAnsi="仿宋_GB2312" w:cs="仿宋_GB2312" w:hint="eastAsia"/>
                <w:szCs w:val="21"/>
                <w:shd w:val="clear" w:color="auto" w:fill="FFFFFF"/>
              </w:rPr>
              <w:t>产业”跨界服务模式，比较典型是青田工行与人民医院合作推出的“金融</w:t>
            </w:r>
            <w:r>
              <w:rPr>
                <w:rFonts w:ascii="仿宋_GB2312" w:eastAsia="仿宋_GB2312" w:hAnsi="仿宋_GB2312" w:cs="仿宋_GB2312"/>
                <w:szCs w:val="21"/>
                <w:shd w:val="clear" w:color="auto" w:fill="FFFFFF"/>
              </w:rPr>
              <w:t>+</w:t>
            </w:r>
            <w:r>
              <w:rPr>
                <w:rFonts w:ascii="仿宋_GB2312" w:eastAsia="仿宋_GB2312" w:hAnsi="仿宋_GB2312" w:cs="仿宋_GB2312" w:hint="eastAsia"/>
                <w:szCs w:val="21"/>
                <w:shd w:val="clear" w:color="auto" w:fill="FFFFFF"/>
              </w:rPr>
              <w:t>医疗”的“银医通”服务模式。</w:t>
            </w:r>
          </w:p>
          <w:p w:rsidR="009E0124" w:rsidRDefault="009E0124" w:rsidP="009E0124">
            <w:pPr>
              <w:spacing w:line="240" w:lineRule="atLeast"/>
              <w:ind w:firstLineChars="200" w:firstLine="31680"/>
              <w:rPr>
                <w:rFonts w:ascii="仿宋_GB2312" w:eastAsia="仿宋_GB2312" w:hAnsi="仿宋_GB2312" w:cs="仿宋_GB2312"/>
                <w:szCs w:val="21"/>
                <w:shd w:val="clear" w:color="auto" w:fill="FFFFFF"/>
              </w:rPr>
            </w:pPr>
            <w:r>
              <w:rPr>
                <w:rFonts w:ascii="仿宋_GB2312" w:eastAsia="仿宋_GB2312" w:hAnsi="仿宋_GB2312" w:cs="仿宋_GB2312" w:hint="eastAsia"/>
                <w:b/>
                <w:bCs/>
                <w:szCs w:val="21"/>
                <w:shd w:val="clear" w:color="auto" w:fill="FFFFFF"/>
              </w:rPr>
              <w:t>“银医通”：</w:t>
            </w:r>
            <w:r>
              <w:rPr>
                <w:rFonts w:ascii="仿宋_GB2312" w:eastAsia="仿宋_GB2312" w:hAnsi="仿宋_GB2312" w:cs="仿宋_GB2312" w:hint="eastAsia"/>
                <w:szCs w:val="21"/>
                <w:shd w:val="clear" w:color="auto" w:fill="FFFFFF"/>
              </w:rPr>
              <w:t>患者将银行卡与医院的就诊卡号进行绑定后，可以在自助终端或网上银行办理医院的预约挂号及当日的挂号业务，挂号费用实时从银行卡账户中支付。</w:t>
            </w:r>
          </w:p>
          <w:p w:rsidR="009E0124" w:rsidRDefault="009E0124" w:rsidP="009E0124">
            <w:pPr>
              <w:spacing w:line="240" w:lineRule="atLeast"/>
              <w:ind w:firstLineChars="200" w:firstLine="31680"/>
              <w:rPr>
                <w:rFonts w:ascii="仿宋_GB2312" w:eastAsia="仿宋_GB2312" w:hAnsi="仿宋"/>
              </w:rPr>
            </w:pPr>
            <w:r>
              <w:rPr>
                <w:rFonts w:ascii="仿宋_GB2312" w:eastAsia="仿宋_GB2312" w:hAnsi="仿宋_GB2312" w:cs="仿宋_GB2312" w:hint="eastAsia"/>
                <w:szCs w:val="21"/>
                <w:shd w:val="clear" w:color="auto" w:fill="FFFFFF"/>
              </w:rPr>
              <w:t>“银医通”解决了群众挂号难和就医排队难问题，方便了群众就医，提升了医疗卫生服务水平。</w:t>
            </w:r>
          </w:p>
        </w:tc>
      </w:tr>
    </w:tbl>
    <w:p w:rsidR="009E0124" w:rsidRDefault="009E0124" w:rsidP="00F31000">
      <w:pPr>
        <w:pStyle w:val="NormalWeb"/>
        <w:widowControl/>
        <w:spacing w:beforeAutospacing="0" w:afterAutospacing="0" w:line="560" w:lineRule="exact"/>
        <w:ind w:firstLine="113"/>
        <w:jc w:val="both"/>
        <w:rPr>
          <w:rFonts w:ascii="仿宋_GB2312" w:eastAsia="仿宋_GB2312" w:hAnsi="仿宋_GB2312" w:cs="仿宋_GB2312"/>
          <w:sz w:val="32"/>
          <w:szCs w:val="32"/>
        </w:rPr>
      </w:pPr>
      <w:r>
        <w:rPr>
          <w:rFonts w:ascii="仿宋_GB2312" w:eastAsia="仿宋_GB2312" w:hAnsi="仿宋_GB2312" w:cs="仿宋_GB2312"/>
          <w:b/>
          <w:bCs/>
          <w:kern w:val="2"/>
          <w:sz w:val="32"/>
          <w:szCs w:val="32"/>
        </w:rPr>
        <w:t xml:space="preserve">   </w:t>
      </w:r>
      <w:r>
        <w:rPr>
          <w:rFonts w:ascii="仿宋_GB2312" w:eastAsia="仿宋_GB2312" w:hAnsi="仿宋_GB2312" w:cs="仿宋_GB2312" w:hint="eastAsia"/>
          <w:b/>
          <w:bCs/>
          <w:kern w:val="2"/>
          <w:sz w:val="32"/>
          <w:szCs w:val="32"/>
        </w:rPr>
        <w:t>（二）加快金融服务转型。</w:t>
      </w:r>
      <w:r>
        <w:rPr>
          <w:rFonts w:ascii="仿宋_GB2312" w:eastAsia="仿宋_GB2312" w:hAnsi="仿宋_GB2312" w:cs="仿宋_GB2312" w:hint="eastAsia"/>
          <w:sz w:val="32"/>
          <w:szCs w:val="32"/>
        </w:rPr>
        <w:t>推动金融服务普惠化、绿色化发展，增进社会公平和促进社会和谐。加强财政政策和金融政策的协调配合，引导金融机构树立“普惠金融”理念，督促金融机构目标客户下沉、市场渠道下沉和服务对象下沉。推进农民住房财产权抵押贷款试点，完善农村金融基础设施，健全融资担保体系，加大信贷风险补偿力度。扩大农业保险覆盖面，加大金融精准扶贫力度，强化金融消费者权益保护，建立普惠金融评价体系，激励金融机构优化对“三农”与中小微企业的金融服务，促进基础金融服务便利化和均等化，加快推进普惠金融发展。加大财政对绿色信贷的贴息力度，鼓励金融机构创新用能权、用水权、排污权、碳排放权抵（质）押贷款和环境污染责任保险等绿色金融产品。完善绿色金融信用信息数据库，发挥绿色信贷指引、提高不良贷款容忍度、支持发展绿色金融事业部等金融政策的引导作用，鼓励商业银行加大对绿色、循环、低碳经济发展的信贷投入，促进绿色金融发展，建设美丽青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23"/>
        </w:trPr>
        <w:tc>
          <w:tcPr>
            <w:tcW w:w="8472" w:type="dxa"/>
            <w:shd w:val="clear" w:color="auto" w:fill="00B050"/>
          </w:tcPr>
          <w:p w:rsidR="009E0124" w:rsidRDefault="009E0124" w:rsidP="009E0124">
            <w:pPr>
              <w:spacing w:line="240" w:lineRule="atLeas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5 </w:t>
            </w:r>
            <w:r>
              <w:rPr>
                <w:rFonts w:ascii="Times New Roman" w:eastAsia="黑体" w:hAnsi="Times New Roman"/>
                <w:kern w:val="0"/>
                <w:sz w:val="28"/>
                <w:szCs w:val="28"/>
              </w:rPr>
              <w:t xml:space="preserve"> </w:t>
            </w:r>
            <w:r>
              <w:rPr>
                <w:rFonts w:ascii="仿宋_GB2312" w:eastAsia="仿宋_GB2312" w:hAnsi="仿宋_GB2312" w:cs="仿宋_GB2312" w:hint="eastAsia"/>
                <w:b/>
                <w:bCs/>
                <w:sz w:val="28"/>
                <w:szCs w:val="28"/>
              </w:rPr>
              <w:t>普惠金融与绿色金融</w:t>
            </w:r>
          </w:p>
        </w:tc>
      </w:tr>
      <w:tr w:rsidR="009E0124">
        <w:trPr>
          <w:trHeight w:val="90"/>
        </w:trPr>
        <w:tc>
          <w:tcPr>
            <w:tcW w:w="8472" w:type="dxa"/>
          </w:tcPr>
          <w:p w:rsidR="009E0124" w:rsidRDefault="009E0124" w:rsidP="009E0124">
            <w:pPr>
              <w:widowControl/>
              <w:spacing w:line="240" w:lineRule="atLeast"/>
              <w:ind w:firstLineChars="200" w:firstLine="31680"/>
              <w:textAlignment w:val="top"/>
              <w:rPr>
                <w:rFonts w:ascii="仿宋_GB2312" w:eastAsia="仿宋_GB2312" w:hAnsi="仿宋_GB2312" w:cs="仿宋_GB2312"/>
              </w:rPr>
            </w:pPr>
            <w:r>
              <w:rPr>
                <w:rFonts w:ascii="仿宋_GB2312" w:eastAsia="仿宋_GB2312" w:hAnsi="仿宋_GB2312" w:cs="仿宋_GB2312" w:hint="eastAsia"/>
                <w:b/>
                <w:bCs/>
                <w:szCs w:val="21"/>
              </w:rPr>
              <w:t>普惠金融</w:t>
            </w:r>
            <w:r>
              <w:rPr>
                <w:rFonts w:ascii="Times New Roman" w:eastAsia="仿宋_GB2312" w:hAnsi="宋体" w:cs="仿宋_GB2312" w:hint="eastAsia"/>
                <w:b/>
                <w:color w:val="333333"/>
                <w:kern w:val="0"/>
                <w:szCs w:val="21"/>
              </w:rPr>
              <w:t>：</w:t>
            </w:r>
            <w:r>
              <w:rPr>
                <w:rFonts w:ascii="仿宋_GB2312" w:eastAsia="仿宋_GB2312" w:hAnsi="仿宋_GB2312" w:cs="仿宋_GB2312" w:hint="eastAsia"/>
              </w:rPr>
              <w:t>由联合国在</w:t>
            </w:r>
            <w:r>
              <w:rPr>
                <w:rFonts w:ascii="仿宋_GB2312" w:eastAsia="仿宋_GB2312" w:hAnsi="仿宋_GB2312" w:cs="仿宋_GB2312"/>
              </w:rPr>
              <w:t>2005</w:t>
            </w:r>
            <w:r>
              <w:rPr>
                <w:rFonts w:ascii="仿宋_GB2312" w:eastAsia="仿宋_GB2312" w:hAnsi="仿宋_GB2312" w:cs="仿宋_GB2312" w:hint="eastAsia"/>
              </w:rPr>
              <w:t>年提出，是指以可负担的成本为有金融服务需求的社会各阶层和群体提供适当、有效的金融服务，小微企业、农民、城镇低收入人群等弱势群体是其重点服务对象。</w:t>
            </w:r>
            <w:r>
              <w:rPr>
                <w:rFonts w:ascii="仿宋_GB2312" w:eastAsia="仿宋_GB2312" w:hAnsi="仿宋_GB2312" w:cs="仿宋_GB2312" w:hint="eastAsia"/>
                <w:szCs w:val="21"/>
              </w:rPr>
              <w:t>普惠金融不等于扶贫，也强调商业可持续性。</w:t>
            </w:r>
          </w:p>
          <w:p w:rsidR="009E0124" w:rsidRDefault="009E0124" w:rsidP="009E0124">
            <w:pPr>
              <w:widowControl/>
              <w:spacing w:line="240" w:lineRule="atLeast"/>
              <w:ind w:firstLineChars="200" w:firstLine="31680"/>
              <w:textAlignment w:val="top"/>
              <w:rPr>
                <w:rFonts w:ascii="仿宋_GB2312" w:eastAsia="仿宋_GB2312" w:hAnsi="仿宋_GB2312" w:cs="仿宋_GB2312"/>
              </w:rPr>
            </w:pPr>
            <w:r>
              <w:rPr>
                <w:rFonts w:ascii="仿宋_GB2312" w:eastAsia="仿宋_GB2312" w:hAnsi="仿宋_GB2312" w:cs="仿宋_GB2312" w:hint="eastAsia"/>
                <w:b/>
                <w:bCs/>
              </w:rPr>
              <w:t>绿色金融：</w:t>
            </w:r>
            <w:hyperlink r:id="rId6" w:tgtFrame="http://baike.baidu.com/_blank" w:history="1">
              <w:r>
                <w:rPr>
                  <w:rFonts w:ascii="仿宋_GB2312" w:eastAsia="仿宋_GB2312" w:hAnsi="仿宋_GB2312" w:cs="仿宋_GB2312" w:hint="eastAsia"/>
                </w:rPr>
                <w:t>金融部门</w:t>
              </w:r>
            </w:hyperlink>
            <w:r>
              <w:rPr>
                <w:rFonts w:ascii="仿宋_GB2312" w:eastAsia="仿宋_GB2312" w:hAnsi="仿宋_GB2312" w:cs="仿宋_GB2312" w:hint="eastAsia"/>
              </w:rPr>
              <w:t>把环境保护作为一项基本政策，在</w:t>
            </w:r>
            <w:hyperlink r:id="rId7" w:tgtFrame="http://baike.baidu.com/_blank" w:history="1">
              <w:r>
                <w:rPr>
                  <w:rFonts w:ascii="仿宋_GB2312" w:eastAsia="仿宋_GB2312" w:hAnsi="仿宋_GB2312" w:cs="仿宋_GB2312" w:hint="eastAsia"/>
                </w:rPr>
                <w:t>投融资</w:t>
              </w:r>
            </w:hyperlink>
            <w:r>
              <w:rPr>
                <w:rFonts w:ascii="仿宋_GB2312" w:eastAsia="仿宋_GB2312" w:hAnsi="仿宋_GB2312" w:cs="仿宋_GB2312" w:hint="eastAsia"/>
              </w:rPr>
              <w:t>决策中要考虑潜在的环境影响，把与环境条件相关的潜在的回报、风险和成本都要融合进银行的日常业务中，在金融经营活动中注重对生态环境的保护以及环境污染的治理，通过对</w:t>
            </w:r>
            <w:hyperlink r:id="rId8" w:tgtFrame="http://baike.baidu.com/_blank" w:history="1">
              <w:r>
                <w:rPr>
                  <w:rFonts w:ascii="仿宋_GB2312" w:eastAsia="仿宋_GB2312" w:hAnsi="仿宋_GB2312" w:cs="仿宋_GB2312" w:hint="eastAsia"/>
                </w:rPr>
                <w:t>社会经济资源</w:t>
              </w:r>
            </w:hyperlink>
            <w:r>
              <w:rPr>
                <w:rFonts w:ascii="仿宋_GB2312" w:eastAsia="仿宋_GB2312" w:hAnsi="仿宋_GB2312" w:cs="仿宋_GB2312" w:hint="eastAsia"/>
              </w:rPr>
              <w:t>的引导，促进社会的可持续发展。</w:t>
            </w:r>
          </w:p>
          <w:p w:rsidR="009E0124" w:rsidRDefault="009E0124" w:rsidP="009E0124">
            <w:pPr>
              <w:spacing w:line="240" w:lineRule="atLeast"/>
              <w:ind w:firstLineChars="200" w:firstLine="31680"/>
              <w:rPr>
                <w:rFonts w:ascii="仿宋_GB2312" w:eastAsia="仿宋_GB2312" w:hAnsi="仿宋"/>
              </w:rPr>
            </w:pPr>
          </w:p>
        </w:tc>
      </w:tr>
    </w:tbl>
    <w:p w:rsidR="009E0124" w:rsidRDefault="009E0124" w:rsidP="00F31000">
      <w:pPr>
        <w:pStyle w:val="BodyTextIndent2"/>
        <w:spacing w:line="560" w:lineRule="exact"/>
        <w:ind w:firstLineChars="0" w:firstLine="646"/>
        <w:rPr>
          <w:rFonts w:hAnsi="仿宋_GB2312" w:cs="仿宋_GB2312"/>
          <w:kern w:val="0"/>
          <w:sz w:val="32"/>
          <w:szCs w:val="32"/>
        </w:rPr>
      </w:pPr>
      <w:r>
        <w:rPr>
          <w:rFonts w:hAnsi="仿宋_GB2312" w:cs="仿宋_GB2312" w:hint="eastAsia"/>
          <w:b/>
          <w:bCs/>
          <w:sz w:val="32"/>
          <w:szCs w:val="32"/>
        </w:rPr>
        <w:t>（三）</w:t>
      </w:r>
      <w:r>
        <w:rPr>
          <w:rFonts w:hint="eastAsia"/>
          <w:b/>
          <w:bCs/>
          <w:sz w:val="32"/>
          <w:szCs w:val="32"/>
        </w:rPr>
        <w:t>加快金融市场转型。</w:t>
      </w:r>
      <w:r w:rsidRPr="00F31000">
        <w:rPr>
          <w:rFonts w:hAnsi="仿宋_GB2312" w:cs="仿宋_GB2312" w:hint="eastAsia"/>
          <w:kern w:val="0"/>
          <w:sz w:val="32"/>
          <w:szCs w:val="32"/>
        </w:rPr>
        <w:t>推动形成交易方式多样、参与主体多元、交易产品丰富，能满足市场各类主体投融资需求的区域金融市场。强化政策支持，城乡双轮驱动，加快推进专业货币兑换公司、外币代兑点等各类市场主体建设，构建城乡一体化本外币兑换网络体系，促进货币兑换市场发展，使青田成为区域性货币兑换中心。培育发展商业保理市场，为中小企业提供应收账款融资、应收账款催收与坏账担保等综合性金融服务。制定鼓励金融服务外包发展的相关政策，积极引进或组建金融服务外包机构，推进区域金融服务外包市场发展。搭建交易平台、加强宣传推广、培育中介机构、</w:t>
      </w:r>
      <w:r>
        <w:rPr>
          <w:rFonts w:hAnsi="仿宋_GB2312" w:cs="仿宋_GB2312" w:hint="eastAsia"/>
          <w:kern w:val="0"/>
          <w:sz w:val="32"/>
          <w:szCs w:val="32"/>
        </w:rPr>
        <w:t>建立</w:t>
      </w:r>
      <w:hyperlink r:id="rId9" w:tooltip="激励机制" w:history="1">
        <w:r w:rsidRPr="00F31000">
          <w:rPr>
            <w:rFonts w:hAnsi="仿宋_GB2312" w:cs="仿宋_GB2312" w:hint="eastAsia"/>
            <w:kern w:val="0"/>
            <w:sz w:val="32"/>
            <w:szCs w:val="32"/>
          </w:rPr>
          <w:t>激励机制</w:t>
        </w:r>
      </w:hyperlink>
      <w:r w:rsidRPr="00F31000">
        <w:rPr>
          <w:rFonts w:hAnsi="仿宋_GB2312" w:cs="仿宋_GB2312"/>
          <w:kern w:val="0"/>
          <w:sz w:val="32"/>
          <w:szCs w:val="32"/>
        </w:rPr>
        <w:t>,</w:t>
      </w:r>
      <w:r w:rsidRPr="00F31000">
        <w:rPr>
          <w:rFonts w:hAnsi="仿宋_GB2312" w:cs="仿宋_GB2312" w:hint="eastAsia"/>
          <w:kern w:val="0"/>
          <w:sz w:val="32"/>
          <w:szCs w:val="32"/>
        </w:rPr>
        <w:t>探索发展区域碳金融市场。建设区域性要素交易市场，促进产权、股权、债权等合理流动。鼓励符合条件的保险公司和证券公司开发外汇金融产品，参与外汇市场，活跃市场交易。</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94"/>
        </w:trPr>
        <w:tc>
          <w:tcPr>
            <w:tcW w:w="8472" w:type="dxa"/>
            <w:shd w:val="clear" w:color="auto" w:fill="00B050"/>
          </w:tcPr>
          <w:p w:rsidR="009E0124" w:rsidRDefault="009E0124" w:rsidP="009E0124">
            <w:pPr>
              <w:spacing w:line="240" w:lineRule="atLeas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6</w:t>
            </w:r>
            <w:r>
              <w:rPr>
                <w:rFonts w:ascii="Times New Roman" w:eastAsia="黑体" w:hAnsi="Times New Roman"/>
                <w:kern w:val="0"/>
                <w:sz w:val="28"/>
                <w:szCs w:val="28"/>
              </w:rPr>
              <w:t xml:space="preserve">  </w:t>
            </w:r>
            <w:r>
              <w:rPr>
                <w:rFonts w:ascii="仿宋_GB2312" w:eastAsia="仿宋_GB2312" w:hAnsi="仿宋_GB2312" w:cs="仿宋_GB2312" w:hint="eastAsia"/>
                <w:b/>
                <w:bCs/>
                <w:sz w:val="28"/>
                <w:szCs w:val="28"/>
              </w:rPr>
              <w:t>商业保理市场与碳金融市场</w:t>
            </w:r>
          </w:p>
        </w:tc>
      </w:tr>
      <w:tr w:rsidR="009E0124">
        <w:trPr>
          <w:trHeight w:val="1959"/>
        </w:trPr>
        <w:tc>
          <w:tcPr>
            <w:tcW w:w="8472" w:type="dxa"/>
          </w:tcPr>
          <w:p w:rsidR="009E0124" w:rsidRDefault="009E0124" w:rsidP="009E0124">
            <w:pPr>
              <w:widowControl/>
              <w:spacing w:line="240" w:lineRule="atLeast"/>
              <w:ind w:firstLineChars="200" w:firstLine="31680"/>
              <w:textAlignment w:val="top"/>
              <w:rPr>
                <w:rFonts w:ascii="仿宋_GB2312" w:eastAsia="仿宋_GB2312" w:hAnsi="仿宋_GB2312" w:cs="仿宋_GB2312"/>
              </w:rPr>
            </w:pPr>
            <w:r>
              <w:rPr>
                <w:rFonts w:ascii="仿宋_GB2312" w:eastAsia="仿宋_GB2312" w:hAnsi="仿宋_GB2312" w:cs="仿宋_GB2312"/>
                <w:b/>
                <w:bCs/>
              </w:rPr>
              <w:t xml:space="preserve">  </w:t>
            </w:r>
            <w:r>
              <w:rPr>
                <w:rFonts w:ascii="仿宋_GB2312" w:eastAsia="仿宋_GB2312" w:hAnsi="仿宋_GB2312" w:cs="仿宋_GB2312" w:hint="eastAsia"/>
                <w:b/>
                <w:bCs/>
              </w:rPr>
              <w:t>商业保理市场：</w:t>
            </w:r>
            <w:r>
              <w:rPr>
                <w:rFonts w:ascii="仿宋_GB2312" w:eastAsia="仿宋_GB2312" w:hAnsi="仿宋_GB2312" w:cs="仿宋_GB2312" w:hint="eastAsia"/>
              </w:rPr>
              <w:t>基于企业交易过程中订立的货物销售或服务合同所产生的应收账款，由商业银行或保理公司为其提供的</w:t>
            </w:r>
            <w:r>
              <w:rPr>
                <w:rFonts w:ascii="仿宋_GB2312" w:eastAsia="仿宋_GB2312" w:hAnsi="仿宋_GB2312" w:cs="仿宋_GB2312" w:hint="eastAsia"/>
                <w:szCs w:val="21"/>
              </w:rPr>
              <w:t>应收账款</w:t>
            </w:r>
            <w:r>
              <w:rPr>
                <w:rFonts w:ascii="仿宋_GB2312" w:eastAsia="仿宋_GB2312" w:hAnsi="仿宋_GB2312" w:cs="仿宋_GB2312" w:hint="eastAsia"/>
              </w:rPr>
              <w:t>融资、应收账款催收、信用风险控制与坏账担保等综合性信用服务市场。</w:t>
            </w:r>
          </w:p>
          <w:p w:rsidR="009E0124" w:rsidRDefault="009E0124" w:rsidP="009E0124">
            <w:pPr>
              <w:spacing w:line="240" w:lineRule="atLeast"/>
              <w:ind w:firstLineChars="200" w:firstLine="31680"/>
            </w:pPr>
            <w:r>
              <w:rPr>
                <w:rFonts w:ascii="仿宋_GB2312" w:eastAsia="仿宋_GB2312" w:hAnsi="仿宋_GB2312" w:cs="仿宋_GB2312"/>
                <w:b/>
                <w:bCs/>
              </w:rPr>
              <w:t xml:space="preserve">  </w:t>
            </w:r>
            <w:r>
              <w:rPr>
                <w:rFonts w:ascii="仿宋_GB2312" w:eastAsia="仿宋_GB2312" w:hAnsi="仿宋_GB2312" w:cs="仿宋_GB2312" w:hint="eastAsia"/>
                <w:b/>
                <w:bCs/>
              </w:rPr>
              <w:t>碳金融市场</w:t>
            </w:r>
            <w:r>
              <w:rPr>
                <w:rFonts w:ascii="仿宋_GB2312" w:eastAsia="仿宋_GB2312" w:hAnsi="仿宋_GB2312" w:cs="仿宋_GB2312"/>
                <w:b/>
                <w:bCs/>
              </w:rPr>
              <w:t>:</w:t>
            </w:r>
            <w:r>
              <w:rPr>
                <w:rFonts w:ascii="仿宋_GB2312" w:eastAsia="仿宋_GB2312" w:hAnsi="仿宋_GB2312" w:cs="仿宋_GB2312" w:hint="eastAsia"/>
              </w:rPr>
              <w:t>指</w:t>
            </w:r>
            <w:hyperlink r:id="rId10" w:tooltip="服务" w:history="1">
              <w:r>
                <w:rPr>
                  <w:rFonts w:ascii="仿宋_GB2312" w:eastAsia="仿宋_GB2312" w:hAnsi="仿宋_GB2312" w:cs="仿宋_GB2312" w:hint="eastAsia"/>
                </w:rPr>
                <w:t>服务</w:t>
              </w:r>
            </w:hyperlink>
            <w:r>
              <w:rPr>
                <w:rFonts w:ascii="仿宋_GB2312" w:eastAsia="仿宋_GB2312" w:hAnsi="仿宋_GB2312" w:cs="仿宋_GB2312" w:hint="eastAsia"/>
              </w:rPr>
              <w:t>于旨在减少温室气体排放的各种</w:t>
            </w:r>
            <w:hyperlink r:id="rId11" w:tooltip="金融" w:history="1">
              <w:r>
                <w:rPr>
                  <w:rFonts w:ascii="仿宋_GB2312" w:eastAsia="仿宋_GB2312" w:hAnsi="仿宋_GB2312" w:cs="仿宋_GB2312" w:hint="eastAsia"/>
                </w:rPr>
                <w:t>金融</w:t>
              </w:r>
            </w:hyperlink>
            <w:r>
              <w:rPr>
                <w:rFonts w:ascii="仿宋_GB2312" w:eastAsia="仿宋_GB2312" w:hAnsi="仿宋_GB2312" w:cs="仿宋_GB2312" w:hint="eastAsia"/>
              </w:rPr>
              <w:t>制度安排和</w:t>
            </w:r>
            <w:hyperlink r:id="rId12" w:tooltip="金融交易" w:history="1">
              <w:r>
                <w:rPr>
                  <w:rFonts w:ascii="仿宋_GB2312" w:eastAsia="仿宋_GB2312" w:hAnsi="仿宋_GB2312" w:cs="仿宋_GB2312" w:hint="eastAsia"/>
                </w:rPr>
                <w:t>金融交易</w:t>
              </w:r>
            </w:hyperlink>
            <w:r>
              <w:rPr>
                <w:rFonts w:ascii="仿宋_GB2312" w:eastAsia="仿宋_GB2312" w:hAnsi="仿宋_GB2312" w:cs="仿宋_GB2312" w:hint="eastAsia"/>
              </w:rPr>
              <w:t>活动。主要包括</w:t>
            </w:r>
            <w:hyperlink r:id="rId13" w:tooltip="碳排放权" w:history="1">
              <w:r>
                <w:rPr>
                  <w:rFonts w:ascii="仿宋_GB2312" w:eastAsia="仿宋_GB2312" w:hAnsi="仿宋_GB2312" w:cs="仿宋_GB2312" w:hint="eastAsia"/>
                </w:rPr>
                <w:t>碳排放权</w:t>
              </w:r>
            </w:hyperlink>
            <w:r>
              <w:rPr>
                <w:rFonts w:ascii="仿宋_GB2312" w:eastAsia="仿宋_GB2312" w:hAnsi="仿宋_GB2312" w:cs="仿宋_GB2312" w:hint="eastAsia"/>
              </w:rPr>
              <w:t>及其衍生品的交易和</w:t>
            </w:r>
            <w:hyperlink r:id="rId14" w:tooltip="投资" w:history="1">
              <w:r>
                <w:rPr>
                  <w:rFonts w:ascii="仿宋_GB2312" w:eastAsia="仿宋_GB2312" w:hAnsi="仿宋_GB2312" w:cs="仿宋_GB2312" w:hint="eastAsia"/>
                </w:rPr>
                <w:t>投资</w:t>
              </w:r>
            </w:hyperlink>
            <w:r>
              <w:rPr>
                <w:rFonts w:ascii="仿宋_GB2312" w:eastAsia="仿宋_GB2312" w:hAnsi="仿宋_GB2312" w:cs="仿宋_GB2312" w:hint="eastAsia"/>
              </w:rPr>
              <w:t>、低碳项目开发的投</w:t>
            </w:r>
            <w:hyperlink r:id="rId15" w:tooltip="融资" w:history="1">
              <w:r>
                <w:rPr>
                  <w:rFonts w:ascii="仿宋_GB2312" w:eastAsia="仿宋_GB2312" w:hAnsi="仿宋_GB2312" w:cs="仿宋_GB2312" w:hint="eastAsia"/>
                </w:rPr>
                <w:t>融资</w:t>
              </w:r>
            </w:hyperlink>
            <w:r>
              <w:rPr>
                <w:rFonts w:ascii="仿宋_GB2312" w:eastAsia="仿宋_GB2312" w:hAnsi="仿宋_GB2312" w:cs="仿宋_GB2312" w:hint="eastAsia"/>
              </w:rPr>
              <w:t>以及其他相关的</w:t>
            </w:r>
            <w:hyperlink r:id="rId16" w:tooltip="金融中介活动" w:history="1">
              <w:r>
                <w:rPr>
                  <w:rFonts w:ascii="仿宋_GB2312" w:eastAsia="仿宋_GB2312" w:hAnsi="仿宋_GB2312" w:cs="仿宋_GB2312" w:hint="eastAsia"/>
                </w:rPr>
                <w:t>金融中介活动</w:t>
              </w:r>
            </w:hyperlink>
            <w:r>
              <w:rPr>
                <w:rFonts w:ascii="仿宋_GB2312" w:eastAsia="仿宋_GB2312" w:hAnsi="仿宋_GB2312" w:cs="仿宋_GB2312" w:hint="eastAsia"/>
              </w:rPr>
              <w:t>。</w:t>
            </w:r>
          </w:p>
          <w:p w:rsidR="009E0124" w:rsidRDefault="009E0124" w:rsidP="009E0124">
            <w:pPr>
              <w:spacing w:line="240" w:lineRule="atLeast"/>
              <w:ind w:firstLineChars="200" w:firstLine="31680"/>
              <w:rPr>
                <w:rFonts w:ascii="仿宋_GB2312" w:eastAsia="仿宋_GB2312" w:hAnsi="仿宋"/>
              </w:rPr>
            </w:pPr>
          </w:p>
        </w:tc>
      </w:tr>
    </w:tbl>
    <w:p w:rsidR="009E0124" w:rsidRDefault="009E0124" w:rsidP="009E0124">
      <w:pPr>
        <w:pStyle w:val="NormalWeb"/>
        <w:widowControl/>
        <w:shd w:val="clear" w:color="auto" w:fill="FFFFFF"/>
        <w:spacing w:beforeAutospacing="0" w:afterAutospacing="0" w:line="240" w:lineRule="atLeas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三、增加金融供给，协调经济金融发展</w:t>
      </w:r>
    </w:p>
    <w:p w:rsidR="009E0124" w:rsidRPr="00F31000"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sidRPr="00F31000">
        <w:rPr>
          <w:rFonts w:ascii="仿宋_GB2312" w:eastAsia="仿宋_GB2312" w:hAnsi="仿宋_GB2312" w:cs="仿宋_GB2312" w:hint="eastAsia"/>
          <w:sz w:val="32"/>
          <w:szCs w:val="32"/>
        </w:rPr>
        <w:t>在经济“新常态”下，增加金融供给，探索发展金融服务新模式，形成金融供给与市场需求的良性互动，精准服务经济结构调整，为经济发展创造新动能。</w:t>
      </w:r>
    </w:p>
    <w:p w:rsidR="009E0124" w:rsidRPr="00F31000"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sz w:val="32"/>
          <w:szCs w:val="32"/>
        </w:rPr>
      </w:pPr>
      <w:r>
        <w:rPr>
          <w:rFonts w:ascii="仿宋_GB2312" w:eastAsia="仿宋_GB2312"/>
          <w:b/>
          <w:bCs/>
          <w:kern w:val="2"/>
          <w:sz w:val="32"/>
          <w:szCs w:val="32"/>
        </w:rPr>
        <w:t>(</w:t>
      </w:r>
      <w:r>
        <w:rPr>
          <w:rFonts w:ascii="仿宋_GB2312" w:eastAsia="仿宋_GB2312" w:hint="eastAsia"/>
          <w:b/>
          <w:bCs/>
          <w:kern w:val="2"/>
          <w:sz w:val="32"/>
          <w:szCs w:val="32"/>
        </w:rPr>
        <w:t>一</w:t>
      </w:r>
      <w:r>
        <w:rPr>
          <w:rFonts w:ascii="仿宋_GB2312" w:eastAsia="仿宋_GB2312"/>
          <w:b/>
          <w:bCs/>
          <w:kern w:val="2"/>
          <w:sz w:val="32"/>
          <w:szCs w:val="32"/>
        </w:rPr>
        <w:t>)</w:t>
      </w:r>
      <w:r>
        <w:rPr>
          <w:rFonts w:ascii="仿宋_GB2312" w:eastAsia="仿宋_GB2312" w:hint="eastAsia"/>
          <w:b/>
          <w:bCs/>
          <w:kern w:val="2"/>
          <w:sz w:val="32"/>
          <w:szCs w:val="32"/>
        </w:rPr>
        <w:t>发展创业金融。</w:t>
      </w:r>
      <w:r w:rsidRPr="00F31000">
        <w:rPr>
          <w:rFonts w:ascii="仿宋_GB2312" w:eastAsia="仿宋_GB2312" w:hint="eastAsia"/>
          <w:sz w:val="32"/>
          <w:szCs w:val="32"/>
        </w:rPr>
        <w:t>营造有利于创业创新的金融环境，激发社会“双创”活力。发挥政府产业基金、民间天使基金等</w:t>
      </w:r>
      <w:r>
        <w:rPr>
          <w:rFonts w:ascii="仿宋_GB2312" w:eastAsia="仿宋_GB2312" w:hint="eastAsia"/>
          <w:sz w:val="32"/>
          <w:szCs w:val="32"/>
        </w:rPr>
        <w:t>基金</w:t>
      </w:r>
      <w:r w:rsidRPr="00F31000">
        <w:rPr>
          <w:rFonts w:ascii="仿宋_GB2312" w:eastAsia="仿宋_GB2312" w:hint="eastAsia"/>
          <w:sz w:val="32"/>
          <w:szCs w:val="32"/>
        </w:rPr>
        <w:t>激励功能，为新技术、新产业、新模式、新业态的创业者提供种子期、孵化期、初创期融资服务。加大对青商回归创业园和创业企业的金融服务，强化对众创、众包、众扶空间的金融支持。促进小额保证保险贷款增量扩面。大力发展个人小额信贷，推广适合小额信贷的差异化信贷技术、业务流程和评审标准。加强金融部门与就业管理部门的合作，完善创业培训和小额担保贷款联动机制，支持高校毕业生、失地农民等创业致富。</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int="eastAsia"/>
          <w:b/>
          <w:bCs/>
          <w:kern w:val="2"/>
          <w:sz w:val="32"/>
          <w:szCs w:val="32"/>
        </w:rPr>
        <w:t>（二）发展科技金融。</w:t>
      </w:r>
      <w:r w:rsidRPr="00F31000">
        <w:rPr>
          <w:rFonts w:ascii="仿宋_GB2312" w:eastAsia="仿宋_GB2312" w:hint="eastAsia"/>
          <w:sz w:val="32"/>
          <w:szCs w:val="32"/>
        </w:rPr>
        <w:t>建立健全科技创新的信用增进机制，打造科技金融服务体系。鼓励银行机构设立科技金融事业部，建立专门的考核机制，提高科技型企业贷款风险容忍度。推动专利技术质押贷款、科技企业股权融资等金融产品创新。发挥“科技助保贷”的功能，拓宽科技型中小微企业的融资渠道。加强银行与创业投资和股权投资机构投贷联动。成立政策性科技担保公司。建立保险保费补贴机制，积极推进专利保险、知识产权质押融资保险等试点。</w:t>
      </w:r>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2"/>
      </w:tblGrid>
      <w:tr w:rsidR="009E0124" w:rsidTr="00752B0E">
        <w:trPr>
          <w:trHeight w:val="394"/>
        </w:trPr>
        <w:tc>
          <w:tcPr>
            <w:tcW w:w="8412" w:type="dxa"/>
            <w:shd w:val="clear" w:color="auto" w:fill="00B050"/>
          </w:tcPr>
          <w:p w:rsidR="009E0124" w:rsidRDefault="009E0124" w:rsidP="009E0124">
            <w:pPr>
              <w:spacing w:line="560" w:lineRule="exac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7 </w:t>
            </w:r>
            <w:r>
              <w:rPr>
                <w:rFonts w:ascii="Times New Roman" w:eastAsia="黑体" w:hAnsi="Times New Roman"/>
                <w:kern w:val="0"/>
                <w:sz w:val="28"/>
                <w:szCs w:val="28"/>
              </w:rPr>
              <w:t xml:space="preserve"> </w:t>
            </w:r>
            <w:r>
              <w:rPr>
                <w:rFonts w:ascii="仿宋_GB2312" w:eastAsia="仿宋_GB2312" w:hAnsi="仿宋_GB2312" w:cs="仿宋_GB2312" w:hint="eastAsia"/>
                <w:b/>
                <w:bCs/>
                <w:color w:val="000000"/>
                <w:sz w:val="28"/>
                <w:szCs w:val="28"/>
              </w:rPr>
              <w:t>“科技助保贷”</w:t>
            </w:r>
          </w:p>
        </w:tc>
      </w:tr>
      <w:tr w:rsidR="009E0124" w:rsidTr="00752B0E">
        <w:trPr>
          <w:trHeight w:val="84"/>
        </w:trPr>
        <w:tc>
          <w:tcPr>
            <w:tcW w:w="8412" w:type="dxa"/>
          </w:tcPr>
          <w:p w:rsidR="009E0124" w:rsidRDefault="009E0124" w:rsidP="009E0124">
            <w:pPr>
              <w:spacing w:line="240" w:lineRule="atLeast"/>
              <w:ind w:firstLineChars="200" w:firstLine="31680"/>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“科技助保贷”</w:t>
            </w:r>
            <w:r>
              <w:rPr>
                <w:rFonts w:ascii="仿宋_GB2312" w:eastAsia="仿宋_GB2312" w:hAnsi="仿宋_GB2312" w:cs="仿宋_GB2312"/>
                <w:b/>
                <w:bCs/>
                <w:color w:val="000000"/>
                <w:szCs w:val="21"/>
              </w:rPr>
              <w:t>:</w:t>
            </w:r>
            <w:r>
              <w:rPr>
                <w:rFonts w:ascii="仿宋_GB2312" w:eastAsia="仿宋_GB2312" w:hAnsi="仿宋_GB2312" w:cs="仿宋_GB2312" w:hint="eastAsia"/>
                <w:color w:val="000000"/>
                <w:szCs w:val="21"/>
              </w:rPr>
              <w:t>县科技局和银行业金融机构联合推出的一项信贷创新业务。“科技助保贷”由政府分期拿出部分资金设立“科技型企业贷款风险金”，由银行业金融机构授信全县科技型企业</w:t>
            </w: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个亿贷款额度，政府为有贷款需求的科技型企业贷款承担</w:t>
            </w: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利息补贴。</w:t>
            </w:r>
          </w:p>
          <w:p w:rsidR="009E0124" w:rsidRDefault="009E0124" w:rsidP="009E0124">
            <w:pPr>
              <w:spacing w:line="240" w:lineRule="atLeast"/>
              <w:ind w:firstLineChars="200" w:firstLine="3168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这种由政府和银行共同推出支持科技型企业融资，实现了科技发展与金融资源的有效对接，拓宽了我县科技型中小微企业的融资渠道。</w:t>
            </w:r>
          </w:p>
          <w:p w:rsidR="009E0124" w:rsidRDefault="009E0124" w:rsidP="009E0124">
            <w:pPr>
              <w:spacing w:line="240" w:lineRule="atLeast"/>
              <w:ind w:firstLineChars="200" w:firstLine="31680"/>
              <w:rPr>
                <w:rFonts w:ascii="仿宋_GB2312" w:eastAsia="仿宋_GB2312" w:hAnsi="仿宋"/>
              </w:rPr>
            </w:pPr>
          </w:p>
        </w:tc>
      </w:tr>
    </w:tbl>
    <w:p w:rsidR="009E0124" w:rsidRPr="00F31000" w:rsidRDefault="009E0124" w:rsidP="009E0124">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b/>
          <w:bCs/>
          <w:kern w:val="2"/>
          <w:sz w:val="32"/>
          <w:szCs w:val="32"/>
        </w:rPr>
        <w:t>（三）发展消费金融。</w:t>
      </w:r>
      <w:r w:rsidRPr="00F31000">
        <w:rPr>
          <w:rFonts w:ascii="仿宋_GB2312" w:eastAsia="仿宋_GB2312" w:hint="eastAsia"/>
          <w:sz w:val="32"/>
          <w:szCs w:val="32"/>
        </w:rPr>
        <w:t>以金融新供给创造消费新需求，发挥消费对经济的拉动作用。创新“金融</w:t>
      </w:r>
      <w:r w:rsidRPr="00F31000">
        <w:rPr>
          <w:rFonts w:ascii="仿宋_GB2312" w:eastAsia="仿宋_GB2312"/>
          <w:sz w:val="32"/>
          <w:szCs w:val="32"/>
        </w:rPr>
        <w:t>+</w:t>
      </w:r>
      <w:r w:rsidRPr="00F31000">
        <w:rPr>
          <w:rFonts w:ascii="仿宋_GB2312" w:eastAsia="仿宋_GB2312" w:hint="eastAsia"/>
          <w:sz w:val="32"/>
          <w:szCs w:val="32"/>
        </w:rPr>
        <w:t>休闲旅游”的合作模式，在风险可控、权责明确的条件下，鼓励银行业自主发放定向小额消费信贷，促进民宿经济、农家乐、休闲旅游消费等</w:t>
      </w:r>
      <w:r>
        <w:rPr>
          <w:rFonts w:ascii="仿宋_GB2312" w:eastAsia="仿宋_GB2312" w:hint="eastAsia"/>
          <w:sz w:val="32"/>
          <w:szCs w:val="32"/>
        </w:rPr>
        <w:t>业态</w:t>
      </w:r>
      <w:r w:rsidRPr="00F31000">
        <w:rPr>
          <w:rFonts w:ascii="仿宋_GB2312" w:eastAsia="仿宋_GB2312" w:hint="eastAsia"/>
          <w:sz w:val="32"/>
          <w:szCs w:val="32"/>
        </w:rPr>
        <w:t>发展。推动消费信贷与互联网技术相结合，探索开展远程客户授权，实现消费贷款线上申请、审批和放贷。创新消费信贷抵质押模式，开发不同首付比例、期限和还款方式的信贷产品。在稳步发展住房、汽车消费信贷的基础上，加大对养老家政、健康、信息、教育文化体育等新消费领域的金融支持。</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sz w:val="32"/>
          <w:szCs w:val="32"/>
        </w:rPr>
      </w:pPr>
      <w:r>
        <w:rPr>
          <w:rFonts w:ascii="仿宋_GB2312" w:eastAsia="仿宋_GB2312" w:hint="eastAsia"/>
          <w:b/>
          <w:bCs/>
          <w:kern w:val="2"/>
          <w:sz w:val="32"/>
          <w:szCs w:val="32"/>
        </w:rPr>
        <w:t>（四）发展贸易金融。</w:t>
      </w:r>
      <w:r w:rsidRPr="00F31000">
        <w:rPr>
          <w:rFonts w:ascii="仿宋_GB2312" w:eastAsia="仿宋_GB2312" w:hint="eastAsia"/>
          <w:sz w:val="32"/>
          <w:szCs w:val="32"/>
        </w:rPr>
        <w:t>完善贸易链、供应链的金融服务，积极推进贸易领域金融创新，促进侨乡进出口贸易发展，</w:t>
      </w:r>
      <w:r w:rsidRPr="0053125F">
        <w:rPr>
          <w:rFonts w:ascii="仿宋_GB2312" w:eastAsia="仿宋_GB2312" w:hint="eastAsia"/>
          <w:sz w:val="32"/>
          <w:szCs w:val="32"/>
        </w:rPr>
        <w:t>服务商贸兴县</w:t>
      </w:r>
      <w:r w:rsidRPr="00F31000">
        <w:rPr>
          <w:rFonts w:ascii="仿宋_GB2312" w:eastAsia="仿宋_GB2312" w:hint="eastAsia"/>
          <w:sz w:val="32"/>
          <w:szCs w:val="32"/>
        </w:rPr>
        <w:t>。创新跨境融资模式，推动内保外贷业务发展，利用境外金融机构贷款支持中小微企业发展。加大对侨乡进口商品城和</w:t>
      </w:r>
      <w:r w:rsidRPr="0053125F">
        <w:rPr>
          <w:rFonts w:ascii="仿宋_GB2312" w:eastAsia="仿宋_GB2312" w:hint="eastAsia"/>
          <w:sz w:val="32"/>
          <w:szCs w:val="32"/>
        </w:rPr>
        <w:t>中小微进出口贸易企业</w:t>
      </w:r>
      <w:r w:rsidRPr="00F31000">
        <w:rPr>
          <w:rFonts w:ascii="仿宋_GB2312" w:eastAsia="仿宋_GB2312" w:hint="eastAsia"/>
          <w:sz w:val="32"/>
          <w:szCs w:val="32"/>
        </w:rPr>
        <w:t>的金融支持。促进个人外币贷款增量扩面。引导商业银行创新远期结售汇、期权买卖、境外远期结售汇等外汇产品，为进出口商提供有效的风险配置与管理工具。鼓励境内银行业金融机构开展境外项目人民币贷款业务和人民币跨境结算业务，降低汇兑成本及货币错配风险。推进保险产品创新，大力发展出口信用保险。探索个人本外币境外直投试点和本外币一体化监管试点。</w:t>
      </w:r>
    </w:p>
    <w:p w:rsidR="009E0124" w:rsidRPr="00B11EF9" w:rsidRDefault="009E0124" w:rsidP="00E30E55">
      <w:pPr>
        <w:pStyle w:val="NormalWeb"/>
        <w:widowControl/>
        <w:spacing w:beforeAutospacing="0" w:afterAutospacing="0" w:line="560" w:lineRule="exact"/>
        <w:jc w:val="both"/>
        <w:rPr>
          <w:rFonts w:ascii="仿宋_GB2312" w:eastAsia="仿宋_GB2312"/>
          <w:sz w:val="32"/>
          <w:szCs w:val="3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23"/>
        </w:trPr>
        <w:tc>
          <w:tcPr>
            <w:tcW w:w="8472" w:type="dxa"/>
            <w:shd w:val="clear" w:color="auto" w:fill="00B050"/>
          </w:tcPr>
          <w:p w:rsidR="009E0124" w:rsidRDefault="009E0124" w:rsidP="009E0124">
            <w:pPr>
              <w:spacing w:line="560" w:lineRule="exac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8</w:t>
            </w:r>
            <w:r>
              <w:rPr>
                <w:rFonts w:ascii="Times New Roman" w:eastAsia="黑体" w:hAnsi="Times New Roman"/>
                <w:kern w:val="0"/>
                <w:sz w:val="28"/>
                <w:szCs w:val="28"/>
              </w:rPr>
              <w:t xml:space="preserve">  </w:t>
            </w:r>
            <w:r>
              <w:rPr>
                <w:rFonts w:ascii="仿宋_GB2312" w:eastAsia="仿宋_GB2312" w:hAnsi="仿宋_GB2312" w:cs="仿宋_GB2312" w:hint="eastAsia"/>
                <w:b/>
                <w:bCs/>
                <w:sz w:val="28"/>
                <w:szCs w:val="28"/>
              </w:rPr>
              <w:t>内保外贷业务</w:t>
            </w:r>
          </w:p>
        </w:tc>
      </w:tr>
      <w:tr w:rsidR="009E0124">
        <w:trPr>
          <w:trHeight w:val="90"/>
        </w:trPr>
        <w:tc>
          <w:tcPr>
            <w:tcW w:w="8472" w:type="dxa"/>
          </w:tcPr>
          <w:p w:rsidR="009E0124" w:rsidRDefault="009E0124" w:rsidP="009E0124">
            <w:pPr>
              <w:spacing w:line="240" w:lineRule="atLeast"/>
              <w:ind w:firstLineChars="200" w:firstLine="31680"/>
              <w:rPr>
                <w:rFonts w:ascii="仿宋_GB2312" w:eastAsia="仿宋_GB2312" w:hAnsi="仿宋_GB2312" w:cs="仿宋_GB2312"/>
              </w:rPr>
            </w:pPr>
            <w:r>
              <w:rPr>
                <w:rFonts w:ascii="仿宋_GB2312" w:eastAsia="仿宋_GB2312" w:hAnsi="仿宋_GB2312" w:cs="仿宋_GB2312" w:hint="eastAsia"/>
                <w:b/>
                <w:bCs/>
              </w:rPr>
              <w:t>内保外贷</w:t>
            </w:r>
            <w:r>
              <w:rPr>
                <w:rFonts w:ascii="仿宋_GB2312" w:eastAsia="仿宋_GB2312" w:hAnsi="仿宋_GB2312" w:cs="仿宋_GB2312"/>
                <w:b/>
                <w:bCs/>
              </w:rPr>
              <w:t>:</w:t>
            </w:r>
            <w:r>
              <w:rPr>
                <w:rFonts w:ascii="仿宋_GB2312" w:eastAsia="仿宋_GB2312" w:hAnsi="仿宋_GB2312" w:cs="仿宋_GB2312" w:hint="eastAsia"/>
              </w:rPr>
              <w:t>是指境内银行为境内企业在境外注册的附属企业或参股投资企业提供担保，由境外银行给境外投资企业发放相应贷款。</w:t>
            </w:r>
          </w:p>
          <w:p w:rsidR="009E0124" w:rsidRDefault="009E0124" w:rsidP="009E0124">
            <w:pPr>
              <w:spacing w:line="240" w:lineRule="atLeast"/>
              <w:ind w:firstLineChars="200" w:firstLine="31680"/>
            </w:pPr>
            <w:r>
              <w:rPr>
                <w:rFonts w:ascii="仿宋_GB2312" w:eastAsia="仿宋_GB2312" w:hAnsi="仿宋_GB2312" w:cs="仿宋_GB2312" w:hint="eastAsia"/>
                <w:b/>
                <w:bCs/>
              </w:rPr>
              <w:t>担保形式为：</w:t>
            </w:r>
            <w:r>
              <w:rPr>
                <w:rFonts w:ascii="仿宋_GB2312" w:eastAsia="仿宋_GB2312" w:hAnsi="仿宋_GB2312" w:cs="仿宋_GB2312" w:hint="eastAsia"/>
              </w:rPr>
              <w:t>在额度内，由境内的银行开出保函或备用信用证为境内企业的境外公司提供融资担保，无须逐笔审批。和以往的融资型担保相比，大大缩短了业务流程。青田中行已开展该项业务。</w:t>
            </w:r>
          </w:p>
          <w:p w:rsidR="009E0124" w:rsidRDefault="009E0124" w:rsidP="009E0124">
            <w:pPr>
              <w:spacing w:line="240" w:lineRule="atLeast"/>
              <w:ind w:firstLineChars="200" w:firstLine="31680"/>
              <w:rPr>
                <w:rFonts w:ascii="仿宋_GB2312" w:eastAsia="仿宋_GB2312" w:hAnsi="仿宋"/>
              </w:rPr>
            </w:pPr>
          </w:p>
        </w:tc>
      </w:tr>
    </w:tbl>
    <w:p w:rsidR="009E0124" w:rsidRDefault="009E0124" w:rsidP="00B11EF9">
      <w:pPr>
        <w:pStyle w:val="NormalWeb"/>
        <w:widowControl/>
        <w:shd w:val="clear" w:color="auto" w:fill="FFFFFF"/>
        <w:spacing w:beforeAutospacing="0" w:afterAutospacing="0" w:line="240" w:lineRule="atLeast"/>
        <w:jc w:val="both"/>
        <w:rPr>
          <w:rStyle w:val="Strong"/>
          <w:rFonts w:ascii="仿宋_GB2312" w:eastAsia="仿宋_GB2312" w:hAnsi="仿宋_GB2312" w:cs="仿宋_GB2312"/>
          <w:b/>
          <w:sz w:val="32"/>
          <w:szCs w:val="32"/>
        </w:rPr>
      </w:pPr>
    </w:p>
    <w:p w:rsidR="009E0124" w:rsidRDefault="009E0124" w:rsidP="00B11EF9">
      <w:pPr>
        <w:pStyle w:val="NormalWeb"/>
        <w:widowControl/>
        <w:shd w:val="clear" w:color="auto" w:fill="FFFFFF"/>
        <w:spacing w:beforeAutospacing="0" w:afterAutospacing="0" w:line="240" w:lineRule="atLeast"/>
        <w:jc w:val="both"/>
        <w:rPr>
          <w:rStyle w:val="Strong"/>
          <w:rFonts w:ascii="仿宋_GB2312" w:eastAsia="仿宋_GB2312" w:hAnsi="仿宋_GB2312" w:cs="仿宋_GB2312"/>
          <w:b/>
          <w:sz w:val="32"/>
          <w:szCs w:val="32"/>
        </w:rPr>
      </w:pPr>
    </w:p>
    <w:p w:rsidR="009E0124" w:rsidRPr="00E30E55" w:rsidRDefault="009E0124" w:rsidP="00B11EF9">
      <w:pPr>
        <w:pStyle w:val="NormalWeb"/>
        <w:widowControl/>
        <w:shd w:val="clear" w:color="auto" w:fill="FFFFFF"/>
        <w:spacing w:beforeAutospacing="0" w:afterAutospacing="0" w:line="240" w:lineRule="atLeast"/>
        <w:jc w:val="both"/>
        <w:rPr>
          <w:rStyle w:val="Strong"/>
          <w:rFonts w:ascii="仿宋_GB2312" w:eastAsia="仿宋_GB2312" w:hAnsi="仿宋_GB2312" w:cs="仿宋_GB2312"/>
          <w:b/>
          <w:sz w:val="32"/>
          <w:szCs w:val="32"/>
        </w:rPr>
      </w:pPr>
    </w:p>
    <w:p w:rsidR="009E0124" w:rsidRDefault="009E0124" w:rsidP="00255870">
      <w:pPr>
        <w:pStyle w:val="NormalWeb"/>
        <w:widowControl/>
        <w:shd w:val="clear" w:color="auto" w:fill="FFFFFF"/>
        <w:spacing w:beforeAutospacing="0" w:afterAutospacing="0" w:line="240" w:lineRule="atLeas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四、打造金融平台，提高金融服务效能</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着力打造资源共享的金融服务平台，加强金农、金企和金政合作，优化金融外部发展环境，实现金融有效融入农村社区和融入商圈社区，提高金融服务效能。</w:t>
      </w:r>
    </w:p>
    <w:p w:rsidR="009E0124" w:rsidRPr="00752B0E" w:rsidRDefault="009E0124" w:rsidP="00F31000">
      <w:pPr>
        <w:pStyle w:val="NormalWeb"/>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b/>
          <w:sz w:val="32"/>
          <w:szCs w:val="32"/>
        </w:rPr>
        <w:t xml:space="preserve">    </w:t>
      </w:r>
      <w:r>
        <w:rPr>
          <w:rFonts w:ascii="仿宋_GB2312" w:eastAsia="仿宋_GB2312" w:hAnsi="仿宋_GB2312" w:cs="仿宋_GB2312" w:hint="eastAsia"/>
          <w:b/>
          <w:sz w:val="32"/>
          <w:szCs w:val="32"/>
        </w:rPr>
        <w:t>（一）打造金农合作平台。</w:t>
      </w:r>
      <w:r>
        <w:rPr>
          <w:rFonts w:ascii="仿宋_GB2312" w:eastAsia="仿宋_GB2312" w:hAnsi="仿宋_GB2312" w:cs="仿宋_GB2312" w:hint="eastAsia"/>
          <w:sz w:val="32"/>
          <w:szCs w:val="32"/>
        </w:rPr>
        <w:t>扩大农户基础信用信息和农村产权信息采集面，完善农户信用信息基础数据库，满足银行业金融机构在农户信用信息挖掘和信贷风险管理上的需求。发挥金融服务中心及农村金融服务站在农户信用信息上的更新功能，不断健全农户信用信息动态管理机制。强化农村信用治理，开展农村“信用村（社区）”、“信用乡镇”建设，建立信用激励约束机制。鼓励银行业金融机构加入农户信用信息数据库平台，构建</w:t>
      </w:r>
      <w:r>
        <w:rPr>
          <w:rFonts w:ascii="仿宋_GB2312" w:eastAsia="仿宋_GB2312" w:hAnsi="仿宋_GB2312" w:cs="仿宋_GB2312"/>
          <w:sz w:val="32"/>
          <w:szCs w:val="32"/>
        </w:rPr>
        <w:t>C2B</w:t>
      </w:r>
      <w:r>
        <w:rPr>
          <w:rFonts w:ascii="仿宋_GB2312" w:eastAsia="仿宋_GB2312" w:hAnsi="仿宋_GB2312" w:cs="仿宋_GB2312" w:hint="eastAsia"/>
          <w:sz w:val="32"/>
          <w:szCs w:val="32"/>
        </w:rPr>
        <w:t>农村金融商业模式，以村为单位，推动“集中授信，整村批发”业务发展。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79"/>
        </w:trPr>
        <w:tc>
          <w:tcPr>
            <w:tcW w:w="8472" w:type="dxa"/>
            <w:shd w:val="clear" w:color="auto" w:fill="00B050"/>
          </w:tcPr>
          <w:p w:rsidR="009E0124" w:rsidRDefault="009E0124" w:rsidP="009E0124">
            <w:pPr>
              <w:spacing w:line="560" w:lineRule="exact"/>
              <w:ind w:firstLineChars="200" w:firstLine="31680"/>
              <w:jc w:val="center"/>
              <w:rPr>
                <w:rFonts w:ascii="仿宋_GB2312" w:eastAsia="仿宋_GB2312"/>
                <w:b/>
                <w:bCs/>
                <w:sz w:val="28"/>
                <w:szCs w:val="28"/>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9</w:t>
            </w:r>
            <w:r>
              <w:rPr>
                <w:rFonts w:ascii="Times New Roman" w:eastAsia="黑体" w:hAnsi="Times New Roman"/>
                <w:kern w:val="0"/>
                <w:sz w:val="28"/>
                <w:szCs w:val="28"/>
              </w:rPr>
              <w:t xml:space="preserve"> </w:t>
            </w:r>
            <w:r>
              <w:rPr>
                <w:rFonts w:ascii="仿宋_GB2312" w:eastAsia="仿宋_GB2312" w:hAnsi="仿宋_GB2312" w:cs="仿宋_GB2312" w:hint="eastAsia"/>
                <w:b/>
                <w:bCs/>
                <w:sz w:val="28"/>
                <w:szCs w:val="28"/>
              </w:rPr>
              <w:t>“集中授信，整村批发”</w:t>
            </w:r>
            <w:r>
              <w:rPr>
                <w:rFonts w:ascii="仿宋_GB2312" w:eastAsia="仿宋_GB2312" w:hAnsi="仿宋_GB2312" w:cs="仿宋_GB2312" w:hint="eastAsia"/>
                <w:b/>
                <w:bCs/>
                <w:kern w:val="0"/>
                <w:sz w:val="28"/>
                <w:szCs w:val="28"/>
              </w:rPr>
              <w:t>信贷模式</w:t>
            </w:r>
          </w:p>
        </w:tc>
      </w:tr>
      <w:tr w:rsidR="009E0124">
        <w:trPr>
          <w:trHeight w:val="2790"/>
        </w:trPr>
        <w:tc>
          <w:tcPr>
            <w:tcW w:w="8472" w:type="dxa"/>
          </w:tcPr>
          <w:p w:rsidR="009E0124" w:rsidRDefault="009E0124" w:rsidP="009E0124">
            <w:pPr>
              <w:autoSpaceDE w:val="0"/>
              <w:autoSpaceDN w:val="0"/>
              <w:spacing w:line="240" w:lineRule="atLeast"/>
              <w:ind w:firstLineChars="200" w:firstLine="31680"/>
              <w:rPr>
                <w:rFonts w:ascii="仿宋_GB2312" w:eastAsia="仿宋_GB2312" w:hAnsi="仿宋_GB2312" w:cs="仿宋_GB2312"/>
                <w:kern w:val="0"/>
                <w:szCs w:val="21"/>
              </w:rPr>
            </w:pPr>
            <w:r>
              <w:rPr>
                <w:rFonts w:ascii="仿宋_GB2312" w:eastAsia="仿宋_GB2312" w:hAnsi="仿宋_GB2312" w:cs="仿宋_GB2312"/>
                <w:b/>
                <w:bCs/>
                <w:kern w:val="0"/>
                <w:szCs w:val="21"/>
              </w:rPr>
              <w:t xml:space="preserve"> </w:t>
            </w:r>
            <w:r>
              <w:rPr>
                <w:rFonts w:ascii="仿宋_GB2312" w:eastAsia="仿宋_GB2312" w:hAnsi="仿宋_GB2312" w:cs="仿宋_GB2312" w:hint="eastAsia"/>
                <w:b/>
                <w:bCs/>
                <w:kern w:val="0"/>
                <w:szCs w:val="21"/>
              </w:rPr>
              <w:t>“集中授信，整村批发”信贷模式：</w:t>
            </w:r>
            <w:r>
              <w:rPr>
                <w:rFonts w:ascii="仿宋_GB2312" w:eastAsia="仿宋_GB2312" w:hAnsi="仿宋_GB2312" w:cs="仿宋_GB2312" w:hint="eastAsia"/>
                <w:kern w:val="0"/>
                <w:szCs w:val="21"/>
              </w:rPr>
              <w:t>是指金融机构依托农户信用信息数据库</w:t>
            </w:r>
            <w:r>
              <w:rPr>
                <w:rFonts w:ascii="仿宋_GB2312" w:eastAsia="仿宋_GB2312" w:hAnsi="仿宋_GB2312" w:cs="仿宋_GB2312"/>
                <w:kern w:val="0"/>
                <w:szCs w:val="21"/>
              </w:rPr>
              <w:t>,</w:t>
            </w:r>
            <w:r>
              <w:rPr>
                <w:rFonts w:ascii="仿宋_GB2312" w:eastAsia="仿宋_GB2312" w:hAnsi="仿宋_GB2312" w:cs="仿宋_GB2312" w:hint="eastAsia"/>
                <w:kern w:val="0"/>
                <w:szCs w:val="21"/>
              </w:rPr>
              <w:t>以村为单位，对农户开展综合授信业务。在规定的期限内，农户对授信额度可以随用随贷，余额控制，循环使用的一种新的农村信贷支农模式。类似于电商的</w:t>
            </w:r>
            <w:r>
              <w:rPr>
                <w:rFonts w:ascii="仿宋_GB2312" w:eastAsia="仿宋_GB2312" w:hAnsi="仿宋_GB2312" w:cs="仿宋_GB2312"/>
                <w:szCs w:val="21"/>
              </w:rPr>
              <w:t>C2B</w:t>
            </w:r>
            <w:r>
              <w:rPr>
                <w:rFonts w:ascii="仿宋_GB2312" w:eastAsia="仿宋_GB2312" w:hAnsi="仿宋_GB2312" w:cs="仿宋_GB2312" w:hint="eastAsia"/>
                <w:szCs w:val="21"/>
              </w:rPr>
              <w:t>模式。</w:t>
            </w:r>
          </w:p>
          <w:p w:rsidR="009E0124" w:rsidRDefault="009E0124" w:rsidP="009E0124">
            <w:pPr>
              <w:autoSpaceDE w:val="0"/>
              <w:autoSpaceDN w:val="0"/>
              <w:spacing w:line="240" w:lineRule="atLeast"/>
              <w:ind w:firstLineChars="200" w:firstLine="31680"/>
              <w:rPr>
                <w:rFonts w:ascii="仿宋_GB2312" w:eastAsia="仿宋_GB2312" w:hAnsi="仿宋_GB2312" w:cs="仿宋_GB2312"/>
                <w:color w:val="000000"/>
                <w:szCs w:val="21"/>
                <w:shd w:val="clear" w:color="auto" w:fill="FFFFFF"/>
              </w:rPr>
            </w:pPr>
            <w:r>
              <w:rPr>
                <w:rFonts w:ascii="仿宋_GB2312" w:eastAsia="仿宋_GB2312" w:hAnsi="仿宋_GB2312" w:cs="仿宋_GB2312"/>
                <w:b/>
                <w:bCs/>
                <w:kern w:val="0"/>
                <w:szCs w:val="21"/>
              </w:rPr>
              <w:t xml:space="preserve"> </w:t>
            </w:r>
            <w:r>
              <w:rPr>
                <w:rFonts w:ascii="仿宋_GB2312" w:eastAsia="仿宋_GB2312" w:hAnsi="仿宋_GB2312" w:cs="仿宋_GB2312" w:hint="eastAsia"/>
                <w:b/>
                <w:bCs/>
                <w:kern w:val="0"/>
                <w:szCs w:val="21"/>
              </w:rPr>
              <w:t>“集中授信，整村批发”信贷模式主要特征：</w:t>
            </w:r>
            <w:r>
              <w:rPr>
                <w:rFonts w:ascii="仿宋_GB2312" w:eastAsia="仿宋_GB2312" w:hAnsi="仿宋_GB2312" w:cs="仿宋_GB2312" w:hint="eastAsia"/>
                <w:szCs w:val="21"/>
              </w:rPr>
              <w:t>一是收集农户基本信用信息，利用互联网技术，建立农户信用信息数据库，批量加工生成农户信用信息，满足金融机构信用风险管理的需求。二是金融机构信贷业务系统与农户信用信息数据库进行链接，依托数据库生成的农户信用信息，以村为独立的整体，开展贷款批发业务。这样能根本性地改变过去按单个农户进行贷款发放的业务模式。三拓展了农村金融服务的边界</w:t>
            </w:r>
            <w:r>
              <w:rPr>
                <w:rFonts w:ascii="仿宋_GB2312" w:eastAsia="仿宋_GB2312" w:hAnsi="仿宋_GB2312" w:cs="仿宋_GB2312" w:hint="eastAsia"/>
                <w:color w:val="000000"/>
                <w:szCs w:val="21"/>
                <w:shd w:val="clear" w:color="auto" w:fill="FFFFFF"/>
              </w:rPr>
              <w:t>，金融交易信息不对称程度大幅下降，普惠金融政策在农村得到了有效落实，维护了农户的基本信贷权。</w:t>
            </w:r>
          </w:p>
          <w:p w:rsidR="009E0124" w:rsidRDefault="009E0124" w:rsidP="009E0124">
            <w:pPr>
              <w:spacing w:line="240" w:lineRule="atLeast"/>
              <w:ind w:firstLineChars="200" w:firstLine="31680"/>
              <w:rPr>
                <w:rFonts w:ascii="仿宋_GB2312" w:eastAsia="仿宋_GB2312" w:hAnsi="仿宋"/>
              </w:rPr>
            </w:pPr>
          </w:p>
        </w:tc>
      </w:tr>
    </w:tbl>
    <w:p w:rsidR="009E0124" w:rsidRDefault="009E0124" w:rsidP="009E0124">
      <w:pPr>
        <w:spacing w:line="560" w:lineRule="exact"/>
        <w:ind w:firstLineChars="200" w:firstLine="31680"/>
        <w:rPr>
          <w:rFonts w:ascii="仿宋_GB2312" w:eastAsia="仿宋_GB2312" w:hAnsi="仿宋_GB2312" w:cs="仿宋_GB2312"/>
          <w:kern w:val="0"/>
          <w:sz w:val="32"/>
          <w:szCs w:val="32"/>
        </w:rPr>
      </w:pPr>
      <w:r>
        <w:rPr>
          <w:rFonts w:ascii="仿宋_GB2312" w:eastAsia="仿宋_GB2312" w:hint="eastAsia"/>
          <w:b/>
          <w:bCs/>
          <w:sz w:val="32"/>
          <w:szCs w:val="32"/>
        </w:rPr>
        <w:t>（二）打造金企合作平台。</w:t>
      </w:r>
      <w:r>
        <w:rPr>
          <w:rFonts w:ascii="仿宋_GB2312" w:eastAsia="仿宋_GB2312" w:hAnsi="仿宋_GB2312" w:cs="仿宋_GB2312" w:hint="eastAsia"/>
          <w:kern w:val="0"/>
          <w:sz w:val="32"/>
          <w:szCs w:val="32"/>
        </w:rPr>
        <w:t>积极发挥政府功能，创新服务手段，通过建立青田金融信息网、金融微信公众号等形式，打造中小微企业金融服务信息平台，及时发布和推送中小微企业急需的金融政策和金融产品等信息，解决金融资源和金融需求间的信息不对称问题。加强银行与商会（协会）沟通联系，形成银行</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商会（协会）</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企业三方合作共赢的战略伙伴关系，共同打造一个多方参与、共同商谈的银企合作平台，助力商会（协会）中的中小微企业发展。完善配套服务，培育发展信用调查市场，发挥商业保理的功能，鼓励应收账款的债权人、债务人和资金提供方加入征信中心应收账款融资服务平台，大力推动企业应收账款融资业务发展。</w:t>
      </w:r>
    </w:p>
    <w:p w:rsidR="009E0124" w:rsidRPr="00F31000" w:rsidRDefault="009E0124" w:rsidP="00255870">
      <w:pPr>
        <w:spacing w:line="560" w:lineRule="exact"/>
        <w:ind w:firstLineChars="196" w:firstLine="31680"/>
        <w:rPr>
          <w:rFonts w:ascii="仿宋_GB2312" w:eastAsia="仿宋_GB2312" w:hAnsi="仿宋_GB2312" w:cs="仿宋_GB2312"/>
          <w:kern w:val="0"/>
          <w:sz w:val="32"/>
          <w:szCs w:val="32"/>
        </w:rPr>
      </w:pPr>
      <w:r>
        <w:rPr>
          <w:rFonts w:ascii="仿宋_GB2312" w:eastAsia="仿宋_GB2312" w:hint="eastAsia"/>
          <w:b/>
          <w:bCs/>
          <w:sz w:val="32"/>
          <w:szCs w:val="32"/>
        </w:rPr>
        <w:t>（三）打造金政合作平台。</w:t>
      </w:r>
      <w:r>
        <w:rPr>
          <w:rFonts w:ascii="仿宋_GB2312" w:eastAsia="仿宋_GB2312" w:hAnsi="仿宋_GB2312" w:cs="仿宋_GB2312" w:hint="eastAsia"/>
          <w:kern w:val="0"/>
          <w:sz w:val="32"/>
          <w:szCs w:val="32"/>
        </w:rPr>
        <w:t>打造“金融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项目”合作平台，政府在做好基本公共服务和纯公益性项目的基础上，在经营性项目领域发挥市场机制的作用，多渠道引入金融资本参与各类项目建设，分散财政风险、减轻财政压力。打造“金融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企业”合作平台，加强县金控公司与金融资本合作，发挥政府产业发展基金的激励功能，引导金融资本投向具有示范、试点、试验意义的具体项目、重大基础设施建设和战略性新兴产业。打造“金融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政府”合作平台，以金融机构与政府互派干部挂职为切入点，搭建人才双向交流培育平台，解决金融机构不熟悉政府有关部门业务，政府部门缺乏现代金融管理知识问题，提高干部队伍素质，促进人才共同发展。</w:t>
      </w:r>
    </w:p>
    <w:p w:rsidR="009E0124" w:rsidRDefault="009E0124" w:rsidP="00255870">
      <w:pPr>
        <w:pStyle w:val="NormalWeb"/>
        <w:widowControl/>
        <w:shd w:val="clear" w:color="auto" w:fill="FFFFFF"/>
        <w:spacing w:beforeAutospacing="0" w:afterAutospacing="0" w:line="560" w:lineRule="exac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五、</w:t>
      </w:r>
      <w:r w:rsidRPr="0053125F">
        <w:rPr>
          <w:rStyle w:val="Strong"/>
          <w:rFonts w:ascii="仿宋_GB2312" w:eastAsia="仿宋_GB2312" w:hAnsi="仿宋_GB2312" w:cs="仿宋_GB2312" w:hint="eastAsia"/>
          <w:b/>
          <w:sz w:val="32"/>
          <w:szCs w:val="32"/>
        </w:rPr>
        <w:t>完善监控机制，</w:t>
      </w:r>
      <w:r>
        <w:rPr>
          <w:rStyle w:val="Strong"/>
          <w:rFonts w:ascii="仿宋_GB2312" w:eastAsia="仿宋_GB2312" w:hAnsi="仿宋_GB2312" w:cs="仿宋_GB2312" w:hint="eastAsia"/>
          <w:b/>
          <w:sz w:val="32"/>
          <w:szCs w:val="32"/>
        </w:rPr>
        <w:t>防控区域金融风险</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坚持不发生区域性、系统性金融风险这一底线。完善制度机制，落实风险防控责任，切实防范和化解金融风险，促进经济平衡、可持续发展。</w:t>
      </w:r>
    </w:p>
    <w:p w:rsidR="009E0124" w:rsidRDefault="009E0124" w:rsidP="00255870">
      <w:pPr>
        <w:pStyle w:val="NormalWeb"/>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int="eastAsia"/>
          <w:b/>
          <w:bCs/>
          <w:kern w:val="2"/>
          <w:sz w:val="32"/>
          <w:szCs w:val="32"/>
        </w:rPr>
        <w:t>（一）加强金融风险预警。</w:t>
      </w:r>
      <w:r>
        <w:rPr>
          <w:rFonts w:ascii="仿宋_GB2312" w:eastAsia="仿宋_GB2312" w:hAnsi="仿宋_GB2312" w:cs="仿宋_GB2312" w:hint="eastAsia"/>
          <w:sz w:val="32"/>
          <w:szCs w:val="32"/>
        </w:rPr>
        <w:t>建立大金融统计制度，推进金融统计标准化建设，加强金融统计分析。强化跨境资本流动、反洗钱、反恐怖融资监测。加强对可能影响区域金融稳定的社会舆情的动态监控。加强对法人金融机构的流动性监测。建立跨市场、跨地区、跨部门的交叉性金融风险监测机制，防范金融风险溢出效应。</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r>
        <w:rPr>
          <w:rFonts w:ascii="仿宋_GB2312" w:eastAsia="仿宋_GB2312" w:hint="eastAsia"/>
          <w:b/>
          <w:bCs/>
          <w:sz w:val="32"/>
          <w:szCs w:val="32"/>
        </w:rPr>
        <w:t>（二）完善风险防控制度。</w:t>
      </w:r>
      <w:r>
        <w:rPr>
          <w:rFonts w:ascii="仿宋_GB2312" w:eastAsia="仿宋_GB2312" w:hAnsi="仿宋_GB2312" w:cs="仿宋_GB2312" w:hint="eastAsia"/>
          <w:kern w:val="0"/>
          <w:sz w:val="32"/>
          <w:szCs w:val="32"/>
        </w:rPr>
        <w:t>健全金融安全网，厘清人民银行、银监办及金融办的风险监管和处置责任，防止监管缺位和越位。切实落实《存款保险条例》，为金融机构创造公平竞争的市场环境。完善金融基础设施和落实金融产权法律保护制度。完善金融突发事件应急预案。开展对法人金融机构的合格审慎性评估和宏观审慎性评估，规范法人机构的经营行为。加快不良资产处置，发挥“转贷通”、政府担保基金等的金融风险缓释功能。开展对金融消费者的金融安全教育，健全金融消费者权益保护制度，维护金融消费者的合法权益。发挥金融同业协会作用，增强行业自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23"/>
        </w:trPr>
        <w:tc>
          <w:tcPr>
            <w:tcW w:w="8472" w:type="dxa"/>
            <w:shd w:val="clear" w:color="auto" w:fill="00B050"/>
          </w:tcPr>
          <w:p w:rsidR="009E0124" w:rsidRDefault="009E0124" w:rsidP="009E0124">
            <w:pPr>
              <w:spacing w:line="560" w:lineRule="exact"/>
              <w:ind w:firstLineChars="200" w:firstLine="31680"/>
              <w:jc w:val="center"/>
              <w:rPr>
                <w:rFonts w:ascii="仿宋_GB2312" w:eastAsia="仿宋_GB2312"/>
                <w:b/>
                <w:bCs/>
                <w:szCs w:val="21"/>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10  </w:t>
            </w:r>
            <w:r>
              <w:rPr>
                <w:rFonts w:ascii="仿宋_GB2312" w:eastAsia="仿宋_GB2312" w:hAnsi="仿宋_GB2312" w:cs="仿宋_GB2312" w:hint="eastAsia"/>
                <w:b/>
                <w:bCs/>
                <w:kern w:val="0"/>
                <w:sz w:val="28"/>
                <w:szCs w:val="28"/>
              </w:rPr>
              <w:t>金融安全网</w:t>
            </w:r>
          </w:p>
        </w:tc>
      </w:tr>
      <w:tr w:rsidR="009E0124">
        <w:trPr>
          <w:trHeight w:val="2166"/>
        </w:trPr>
        <w:tc>
          <w:tcPr>
            <w:tcW w:w="8472" w:type="dxa"/>
          </w:tcPr>
          <w:p w:rsidR="009E0124" w:rsidRDefault="009E0124" w:rsidP="009E0124">
            <w:pPr>
              <w:autoSpaceDE w:val="0"/>
              <w:autoSpaceDN w:val="0"/>
              <w:spacing w:line="240" w:lineRule="atLeast"/>
              <w:ind w:firstLineChars="200" w:firstLine="31680"/>
              <w:rPr>
                <w:rFonts w:ascii="仿宋_GB2312" w:eastAsia="仿宋_GB2312" w:hAnsi="仿宋_GB2312" w:cs="仿宋_GB2312"/>
                <w:szCs w:val="21"/>
              </w:rPr>
            </w:pPr>
            <w:r>
              <w:rPr>
                <w:rFonts w:ascii="仿宋_GB2312" w:eastAsia="仿宋_GB2312" w:hAnsi="仿宋_GB2312" w:cs="仿宋_GB2312" w:hint="eastAsia"/>
                <w:b/>
                <w:bCs/>
                <w:szCs w:val="21"/>
              </w:rPr>
              <w:t>金融安全网：</w:t>
            </w:r>
            <w:r>
              <w:rPr>
                <w:rFonts w:ascii="仿宋_GB2312" w:eastAsia="仿宋_GB2312" w:hAnsi="仿宋_GB2312" w:cs="仿宋_GB2312" w:hint="eastAsia"/>
                <w:szCs w:val="21"/>
              </w:rPr>
              <w:t>为了保持整个金融体系的稳定，防患于未然，当某个或某些</w:t>
            </w:r>
            <w:hyperlink r:id="rId17" w:tgtFrame="http://baike.baidu.com/_blank" w:history="1">
              <w:r>
                <w:rPr>
                  <w:rFonts w:ascii="仿宋_GB2312" w:eastAsia="仿宋_GB2312" w:hAnsi="仿宋_GB2312" w:cs="仿宋_GB2312" w:hint="eastAsia"/>
                  <w:szCs w:val="21"/>
                </w:rPr>
                <w:t>金融</w:t>
              </w:r>
            </w:hyperlink>
            <w:r>
              <w:rPr>
                <w:rFonts w:ascii="仿宋_GB2312" w:eastAsia="仿宋_GB2312" w:hAnsi="仿宋_GB2312" w:cs="仿宋_GB2312" w:hint="eastAsia"/>
                <w:szCs w:val="21"/>
              </w:rPr>
              <w:t>机构发生问题时，动员各种力量，采取各种措施，防止其危机向其他金融</w:t>
            </w:r>
            <w:hyperlink r:id="rId18" w:tgtFrame="http://baike.baidu.com/_blank" w:history="1">
              <w:r>
                <w:rPr>
                  <w:rFonts w:ascii="仿宋_GB2312" w:eastAsia="仿宋_GB2312" w:hAnsi="仿宋_GB2312" w:cs="仿宋_GB2312" w:hint="eastAsia"/>
                  <w:szCs w:val="21"/>
                </w:rPr>
                <w:t>机构</w:t>
              </w:r>
            </w:hyperlink>
            <w:r>
              <w:rPr>
                <w:rFonts w:ascii="仿宋_GB2312" w:eastAsia="仿宋_GB2312" w:hAnsi="仿宋_GB2312" w:cs="仿宋_GB2312" w:hint="eastAsia"/>
                <w:szCs w:val="21"/>
              </w:rPr>
              <w:t>和整个金融体系扩散和蔓延，这样的保护体系形象的称之为“金融安全网”。金融安全网在一国的经济金融体系中对于稳定金融秩序、维护公众信心，进而保护实体经济不遭受损害，起到非常重要的作用。</w:t>
            </w:r>
          </w:p>
          <w:p w:rsidR="009E0124" w:rsidRDefault="009E0124" w:rsidP="009E0124">
            <w:pPr>
              <w:autoSpaceDE w:val="0"/>
              <w:autoSpaceDN w:val="0"/>
              <w:spacing w:line="240" w:lineRule="atLeast"/>
              <w:ind w:firstLineChars="200" w:firstLine="31680"/>
              <w:rPr>
                <w:rFonts w:ascii="仿宋_GB2312" w:eastAsia="仿宋_GB2312" w:hAnsi="仿宋_GB2312" w:cs="仿宋_GB2312"/>
                <w:szCs w:val="21"/>
              </w:rPr>
            </w:pPr>
            <w:r>
              <w:rPr>
                <w:rFonts w:ascii="仿宋_GB2312" w:eastAsia="仿宋_GB2312" w:hAnsi="仿宋_GB2312" w:cs="仿宋_GB2312" w:hint="eastAsia"/>
                <w:b/>
                <w:bCs/>
                <w:szCs w:val="21"/>
              </w:rPr>
              <w:t>金融安全网的组成：</w:t>
            </w:r>
            <w:r>
              <w:rPr>
                <w:rFonts w:ascii="仿宋_GB2312" w:eastAsia="仿宋_GB2312" w:hAnsi="仿宋_GB2312" w:cs="仿宋_GB2312" w:hint="eastAsia"/>
                <w:szCs w:val="21"/>
              </w:rPr>
              <w:t>由金融审慎监管、中央银行金融稳定再贷款及存款保险制度构成。</w:t>
            </w:r>
            <w:r>
              <w:rPr>
                <w:rFonts w:ascii="仿宋_GB2312" w:eastAsia="仿宋_GB2312" w:hAnsi="仿宋_GB2312" w:cs="仿宋_GB2312"/>
                <w:szCs w:val="21"/>
              </w:rPr>
              <w:t>2015</w:t>
            </w:r>
            <w:r>
              <w:rPr>
                <w:rFonts w:ascii="仿宋_GB2312" w:eastAsia="仿宋_GB2312" w:hAnsi="仿宋_GB2312" w:cs="仿宋_GB2312" w:hint="eastAsia"/>
                <w:szCs w:val="21"/>
              </w:rPr>
              <w:t>年，《存款保险条例》颁布实施，标志着我国金融安全网正式建立。</w:t>
            </w:r>
          </w:p>
          <w:p w:rsidR="009E0124" w:rsidRDefault="009E0124" w:rsidP="009E0124">
            <w:pPr>
              <w:spacing w:line="240" w:lineRule="atLeast"/>
              <w:ind w:firstLineChars="200" w:firstLine="31680"/>
              <w:rPr>
                <w:rFonts w:ascii="仿宋_GB2312" w:eastAsia="仿宋_GB2312" w:hAnsi="仿宋"/>
                <w:szCs w:val="21"/>
              </w:rPr>
            </w:pPr>
          </w:p>
        </w:tc>
      </w:tr>
    </w:tbl>
    <w:p w:rsidR="009E0124" w:rsidRPr="00F31000" w:rsidRDefault="009E0124" w:rsidP="00B11EF9">
      <w:pPr>
        <w:pStyle w:val="NormalWeb"/>
        <w:widowControl/>
        <w:spacing w:before="150" w:beforeAutospacing="0" w:after="150" w:afterAutospacing="0" w:line="560" w:lineRule="exact"/>
        <w:jc w:val="both"/>
        <w:rPr>
          <w:rFonts w:ascii="仿宋_GB2312" w:eastAsia="仿宋_GB2312" w:hAnsi="仿宋_GB2312" w:cs="仿宋_GB2312"/>
          <w:sz w:val="32"/>
          <w:szCs w:val="32"/>
        </w:rPr>
      </w:pPr>
      <w:r>
        <w:rPr>
          <w:rFonts w:ascii="仿宋_GB2312" w:eastAsia="仿宋_GB2312"/>
          <w:b/>
          <w:bCs/>
          <w:kern w:val="2"/>
          <w:sz w:val="32"/>
          <w:szCs w:val="32"/>
        </w:rPr>
        <w:t xml:space="preserve">  </w:t>
      </w:r>
      <w:r w:rsidRPr="0053125F">
        <w:rPr>
          <w:rFonts w:ascii="仿宋_GB2312" w:eastAsia="仿宋_GB2312"/>
          <w:b/>
          <w:bCs/>
          <w:kern w:val="2"/>
          <w:sz w:val="32"/>
          <w:szCs w:val="32"/>
        </w:rPr>
        <w:t xml:space="preserve"> </w:t>
      </w:r>
      <w:r w:rsidRPr="0053125F">
        <w:rPr>
          <w:rFonts w:ascii="仿宋_GB2312" w:eastAsia="仿宋_GB2312" w:hint="eastAsia"/>
          <w:b/>
          <w:bCs/>
          <w:kern w:val="2"/>
          <w:sz w:val="32"/>
          <w:szCs w:val="32"/>
        </w:rPr>
        <w:t>（三）健全社会信用体系。</w:t>
      </w:r>
      <w:r w:rsidRPr="00F31000">
        <w:rPr>
          <w:rFonts w:ascii="仿宋_GB2312" w:eastAsia="仿宋_GB2312" w:hAnsi="仿宋_GB2312" w:cs="仿宋_GB2312" w:hint="eastAsia"/>
          <w:sz w:val="32"/>
          <w:szCs w:val="32"/>
        </w:rPr>
        <w:t>营造社会信用文化环境，积极培育和践行社会主义诚信价值观，激发人们的信用意识，引导社会成员形成笃诚守信的观念。搭建社会信用信息平台，整合部门资源，建立社会信用数据库和信用信息查询网络，实现信用信息的公开、透明、共享，更好防范金融风险。完善社会信用治理体系，充分发挥政府、企业、社会组织等的治理功能，明确不同主体担负的信用责任及其在社会信用体系中的地位、作用，建立多维度、网络化的信用治理体系。健全社会信用惩戒机制，严厉打击逃废债等金融违法行为，加大对失信行为的惩戒力度，提高违约成本、强化违约惩罚。</w:t>
      </w:r>
    </w:p>
    <w:p w:rsidR="009E0124" w:rsidRDefault="009E0124" w:rsidP="00255870">
      <w:pPr>
        <w:pStyle w:val="NormalWeb"/>
        <w:spacing w:beforeAutospacing="0" w:afterAutospacing="0" w:line="240" w:lineRule="atLeast"/>
        <w:ind w:firstLineChars="200" w:firstLine="31680"/>
        <w:jc w:val="both"/>
        <w:rPr>
          <w:rFonts w:ascii="仿宋_GB2312" w:eastAsia="仿宋_GB2312" w:hAnsi="仿宋_GB2312" w:cs="仿宋_GB2312"/>
          <w:sz w:val="32"/>
          <w:szCs w:val="32"/>
        </w:rPr>
      </w:pPr>
      <w:r>
        <w:rPr>
          <w:rFonts w:ascii="仿宋_GB2312" w:eastAsia="仿宋_GB2312" w:hint="eastAsia"/>
          <w:b/>
          <w:bCs/>
          <w:kern w:val="2"/>
          <w:sz w:val="32"/>
          <w:szCs w:val="32"/>
        </w:rPr>
        <w:t>（四）落实风险防控责任。</w:t>
      </w:r>
      <w:r>
        <w:rPr>
          <w:rFonts w:ascii="仿宋_GB2312" w:eastAsia="仿宋_GB2312" w:hAnsi="仿宋_GB2312" w:cs="仿宋_GB2312" w:hint="eastAsia"/>
          <w:sz w:val="32"/>
          <w:szCs w:val="32"/>
        </w:rPr>
        <w:t>金融机构是金融风险的第一责任人。金融机构要完善内控制度，健全风险防范机制，落实风险防控责任。将金融企业的风险防控情况纳入政府对金融机构的年度绩效考核，实行一票否决制。切实落实重大金融事项报告制度。</w:t>
      </w:r>
    </w:p>
    <w:p w:rsidR="009E0124" w:rsidRDefault="009E0124" w:rsidP="00255870">
      <w:pPr>
        <w:pStyle w:val="NormalWeb"/>
        <w:spacing w:beforeAutospacing="0" w:afterAutospacing="0" w:line="240" w:lineRule="atLeast"/>
        <w:ind w:firstLineChars="200" w:firstLine="31680"/>
        <w:jc w:val="both"/>
        <w:rPr>
          <w:rFonts w:ascii="仿宋_GB2312" w:eastAsia="仿宋_GB2312" w:hAnsi="仿宋_GB2312" w:cs="仿宋_GB2312"/>
          <w:sz w:val="32"/>
          <w:szCs w:val="32"/>
        </w:rPr>
      </w:pPr>
    </w:p>
    <w:p w:rsidR="009E0124" w:rsidRDefault="009E0124" w:rsidP="00255870">
      <w:pPr>
        <w:pStyle w:val="NormalWeb"/>
        <w:widowControl/>
        <w:shd w:val="clear" w:color="auto" w:fill="FFFFFF"/>
        <w:spacing w:beforeAutospacing="0" w:afterAutospacing="0" w:line="560" w:lineRule="exact"/>
        <w:ind w:firstLineChars="695" w:firstLine="31680"/>
        <w:rPr>
          <w:rStyle w:val="Strong"/>
          <w:rFonts w:ascii="仿宋_GB2312" w:eastAsia="仿宋_GB2312" w:hAnsi="仿宋_GB2312" w:cs="仿宋_GB2312"/>
          <w:b/>
          <w:color w:val="2B2B2B"/>
          <w:sz w:val="36"/>
          <w:szCs w:val="36"/>
          <w:shd w:val="clear" w:color="auto" w:fill="FFFFFF"/>
        </w:rPr>
      </w:pPr>
      <w:r>
        <w:rPr>
          <w:rStyle w:val="Strong"/>
          <w:rFonts w:ascii="仿宋_GB2312" w:eastAsia="仿宋_GB2312" w:hAnsi="仿宋_GB2312" w:cs="仿宋_GB2312" w:hint="eastAsia"/>
          <w:b/>
          <w:color w:val="2B2B2B"/>
          <w:sz w:val="36"/>
          <w:szCs w:val="36"/>
          <w:shd w:val="clear" w:color="auto" w:fill="FFFFFF"/>
        </w:rPr>
        <w:t>第四章</w:t>
      </w:r>
      <w:r>
        <w:rPr>
          <w:rStyle w:val="Strong"/>
          <w:rFonts w:ascii="仿宋_GB2312" w:eastAsia="仿宋_GB2312" w:hAnsi="仿宋_GB2312" w:cs="仿宋_GB2312"/>
          <w:b/>
          <w:color w:val="2B2B2B"/>
          <w:sz w:val="36"/>
          <w:szCs w:val="36"/>
          <w:shd w:val="clear" w:color="auto" w:fill="FFFFFF"/>
        </w:rPr>
        <w:t xml:space="preserve">  </w:t>
      </w:r>
      <w:r>
        <w:rPr>
          <w:rStyle w:val="Strong"/>
          <w:rFonts w:ascii="仿宋_GB2312" w:eastAsia="仿宋_GB2312" w:hAnsi="仿宋_GB2312" w:cs="仿宋_GB2312" w:hint="eastAsia"/>
          <w:b/>
          <w:color w:val="2B2B2B"/>
          <w:sz w:val="36"/>
          <w:szCs w:val="36"/>
          <w:shd w:val="clear" w:color="auto" w:fill="FFFFFF"/>
        </w:rPr>
        <w:t>四大金融工程</w:t>
      </w:r>
    </w:p>
    <w:p w:rsidR="009E0124" w:rsidRDefault="009E0124" w:rsidP="00255870">
      <w:pPr>
        <w:pStyle w:val="NormalWeb"/>
        <w:widowControl/>
        <w:shd w:val="clear" w:color="auto" w:fill="FFFFFF"/>
        <w:spacing w:beforeAutospacing="0" w:afterAutospacing="0" w:line="560" w:lineRule="exact"/>
        <w:ind w:firstLineChars="695" w:firstLine="31680"/>
        <w:rPr>
          <w:rStyle w:val="Strong"/>
          <w:rFonts w:ascii="仿宋_GB2312" w:eastAsia="仿宋_GB2312" w:hAnsi="仿宋_GB2312" w:cs="仿宋_GB2312"/>
          <w:b/>
          <w:color w:val="2B2B2B"/>
          <w:sz w:val="36"/>
          <w:szCs w:val="36"/>
          <w:shd w:val="clear" w:color="auto" w:fill="FFFFFF"/>
        </w:rPr>
      </w:pPr>
    </w:p>
    <w:p w:rsidR="009E0124" w:rsidRDefault="009E0124" w:rsidP="00255870">
      <w:pPr>
        <w:pStyle w:val="NormalWeb"/>
        <w:widowControl/>
        <w:shd w:val="clear" w:color="auto" w:fill="FFFFFF"/>
        <w:spacing w:beforeAutospacing="0" w:afterAutospacing="0" w:line="560" w:lineRule="exac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一、货币兑换中心工程</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发挥资源优势，顺应市场需求，强化政策支持，促进本外币货币兑换市场发展。形成多层次的货币兑换服务体系，引导外汇黑市向正规交易市场发展，便利居民货币兑换，使青田成为区域性货币兑换中心。</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加强市场主体建设，发展专业货币兑换公司和外币代兑点，稳步推进农村外币代兑点建设，形成覆盖城乡、安全高效、功能完善、服务便捷，能为不同客户提供多样化货币兑换服务的市场网络体系。创新业务运营模式，支持有法人资质的货币兑换机构在区域范围内通过连锁、联合经营，扩张网点和地域经营范围，以实现规模效应，并鼓励货币兑换机构利用互联网技术，开展货币兑换网上电子预约业务，提高服务效能。拓展业务范围，在政策许可的条件下，支持货币兑换机构增加交易品种、服务范围和业务形态，并加强与银行业金融机构的合作，实现包括电子旅行支票、国际间汇款等领域的全面覆盖，满足市场需求。加大政策支持，鼓励引导民间资本有序参与货币兑换市场建设。强化货币兑换市场监管，加强反洗钱及恐怖融资监控，促进货币兑换市场有序规范发展。</w:t>
      </w:r>
    </w:p>
    <w:p w:rsidR="009E0124" w:rsidRDefault="009E0124" w:rsidP="00255870">
      <w:pPr>
        <w:pStyle w:val="NormalWeb"/>
        <w:widowControl/>
        <w:shd w:val="clear" w:color="auto" w:fill="FFFFFF"/>
        <w:spacing w:beforeAutospacing="0" w:afterAutospacing="0" w:line="560" w:lineRule="exac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二、大资管金融工程</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适应侨乡居民家庭财富快速积累，大众富裕阶层日益壮大和社会财富再配置需求趋势，加强政策扶持，培育发展资产管理市场，壮大资管行业，实现居民财富保值增值，把大资管金融发展成为我县标杆性、品牌性的特色金融服务业。</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发展初期阶段，重点培育专业的大资管机构，特别是本土法人大资管机构。在发挥银证保资管中坚力量的基础上，通过引进、组建或以资本为纽带联营方式，大力发展基金、信托、资产管理公司等各类大资管专业机构投资者，促进市场主体多元化。加强政策引导和风险提示，鼓励本土法人大资管机构开展适度的资管产品创新。同时，大资管产业的健康发展核心与关键在于拥有专业化的人才团队，因此，本土法人大资管机构的初期战略重心在于培养壮大资管人才队伍，不应当追求高风险、高收益的投资项目，而要以安全性与流动性为前提，聚焦于细分市场，以服务居民个人财富管理、专注于产品、渠道相对单一、有固定收益的稳健投资为主。发展中期阶段，随着本土大资管机构管理能力的增强，资管人才队伍的逐步壮大成熟，居民风险意识及风险承受能力的提高和政策法规的不断完善，鼓励本土大资管机构在自身能力范围内，积极推进资管产品创新，拓展投融资渠道，开展集合资产管理计划的组合产品投资，以获得超越市场预期的收益。发展的最后阶段，加快有实力的本土大资管机构向全能资管转型发展，不断做强做大，提高市场核心竞争力。</w:t>
      </w:r>
    </w:p>
    <w:p w:rsidR="009E0124" w:rsidRDefault="009E0124" w:rsidP="00255870">
      <w:pPr>
        <w:pStyle w:val="NormalWeb"/>
        <w:widowControl/>
        <w:shd w:val="clear" w:color="auto" w:fill="FFFFFF"/>
        <w:spacing w:beforeAutospacing="0" w:afterAutospacing="0" w:line="560" w:lineRule="exac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三、特色小镇金融工程</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借鉴石雕小镇金融模式的有益经验，因地制宜，分类施策，精准发力，建立特色小镇金融服务模式，发挥特色小镇“小空间大投资”的作用，使特色小镇成为推进新型城镇化和促进实体经济发展的“新引擎”。</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特色小镇建设发展规划，安排专项信贷规模，加大对特色小镇基础设施、公共服务、环境保护等配套设施的信贷支持。按照特色小镇不同的产业定位、文化内涵、社区特征，开发专项金融产品，并加强增信制度建设，健全风险分担机制，支持特色小镇内的企业发展。优化金融资源布局，加大在各个特色小镇的机构、网点及金融机具布设，延伸金融服务。扩大特色小镇投融资渠道，积极引导民间资本与特色小镇优质项目对接。成立民间资本参股的政府特色小镇发展基金，创新政府支持与市场化运作相结合的金融资产管理模式，发挥基金的激励引导功能，增加特色小镇的资金投入，加快特色小镇发展。</w:t>
      </w:r>
    </w:p>
    <w:p w:rsidR="009E0124" w:rsidRDefault="009E0124" w:rsidP="00255870">
      <w:pPr>
        <w:spacing w:line="560" w:lineRule="exact"/>
        <w:ind w:firstLineChars="200" w:firstLine="31680"/>
        <w:rPr>
          <w:rFonts w:ascii="仿宋_GB2312" w:eastAsia="仿宋_GB2312" w:hAnsi="仿宋_GB2312" w:cs="仿宋_GB2312"/>
          <w:kern w:val="0"/>
          <w:sz w:val="32"/>
          <w:szCs w:val="32"/>
        </w:rPr>
      </w:pPr>
    </w:p>
    <w:p w:rsidR="009E0124" w:rsidRDefault="009E0124" w:rsidP="00255870">
      <w:pPr>
        <w:spacing w:line="560" w:lineRule="exact"/>
        <w:ind w:firstLineChars="200" w:firstLine="31680"/>
        <w:rPr>
          <w:rFonts w:ascii="仿宋_GB2312" w:eastAsia="仿宋_GB2312" w:hAnsi="仿宋_GB2312" w:cs="仿宋_GB2312"/>
          <w:kern w:val="0"/>
          <w:sz w:val="32"/>
          <w:szCs w:val="3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9E0124">
        <w:trPr>
          <w:trHeight w:val="423"/>
        </w:trPr>
        <w:tc>
          <w:tcPr>
            <w:tcW w:w="8472" w:type="dxa"/>
            <w:shd w:val="clear" w:color="auto" w:fill="00B050"/>
          </w:tcPr>
          <w:p w:rsidR="009E0124" w:rsidRDefault="009E0124" w:rsidP="009E0124">
            <w:pPr>
              <w:spacing w:line="560" w:lineRule="exact"/>
              <w:ind w:firstLineChars="200" w:firstLine="31680"/>
              <w:jc w:val="center"/>
              <w:rPr>
                <w:rFonts w:ascii="仿宋_GB2312" w:eastAsia="仿宋_GB2312"/>
                <w:b/>
                <w:bCs/>
                <w:szCs w:val="21"/>
              </w:rPr>
            </w:pPr>
            <w:r>
              <w:rPr>
                <w:rFonts w:ascii="仿宋_GB2312" w:eastAsia="仿宋_GB2312" w:hAnsi="仿宋_GB2312" w:cs="仿宋_GB2312" w:hint="eastAsia"/>
                <w:b/>
                <w:bCs/>
                <w:kern w:val="0"/>
                <w:sz w:val="28"/>
                <w:szCs w:val="28"/>
              </w:rPr>
              <w:t>专栏</w:t>
            </w:r>
            <w:r>
              <w:rPr>
                <w:rFonts w:ascii="仿宋_GB2312" w:eastAsia="仿宋_GB2312" w:hAnsi="仿宋_GB2312" w:cs="仿宋_GB2312"/>
                <w:b/>
                <w:bCs/>
                <w:kern w:val="0"/>
                <w:sz w:val="28"/>
                <w:szCs w:val="28"/>
              </w:rPr>
              <w:t xml:space="preserve">11  </w:t>
            </w:r>
            <w:r>
              <w:rPr>
                <w:rFonts w:ascii="仿宋_GB2312" w:eastAsia="仿宋_GB2312" w:hAnsi="仿宋_GB2312" w:cs="仿宋_GB2312" w:hint="eastAsia"/>
                <w:b/>
                <w:bCs/>
                <w:kern w:val="0"/>
                <w:sz w:val="28"/>
                <w:szCs w:val="28"/>
              </w:rPr>
              <w:t>石雕小镇金融模式</w:t>
            </w:r>
          </w:p>
        </w:tc>
      </w:tr>
      <w:tr w:rsidR="009E0124">
        <w:trPr>
          <w:trHeight w:val="4653"/>
        </w:trPr>
        <w:tc>
          <w:tcPr>
            <w:tcW w:w="8472" w:type="dxa"/>
          </w:tcPr>
          <w:p w:rsidR="009E0124" w:rsidRDefault="009E0124" w:rsidP="009E0124">
            <w:pPr>
              <w:autoSpaceDE w:val="0"/>
              <w:autoSpaceDN w:val="0"/>
              <w:spacing w:line="240" w:lineRule="atLeast"/>
              <w:ind w:firstLineChars="200" w:firstLine="31680"/>
              <w:rPr>
                <w:rFonts w:ascii="仿宋_GB2312" w:eastAsia="仿宋_GB2312" w:hAnsi="仿宋_GB2312" w:cs="仿宋_GB2312"/>
                <w:b/>
                <w:bCs/>
                <w:color w:val="000000"/>
                <w:szCs w:val="21"/>
                <w:shd w:val="clear" w:color="auto" w:fill="FFFFFF"/>
              </w:rPr>
            </w:pPr>
            <w:r>
              <w:rPr>
                <w:rFonts w:ascii="仿宋_GB2312" w:eastAsia="仿宋_GB2312" w:hAnsi="仿宋_GB2312" w:cs="仿宋_GB2312" w:hint="eastAsia"/>
                <w:color w:val="000000"/>
                <w:szCs w:val="21"/>
                <w:shd w:val="clear" w:color="auto" w:fill="FFFFFF"/>
              </w:rPr>
              <w:t>该模式是根据石雕产业发展特点及石雕小镇融资需求而量身定做的金融服务模式，主要有：</w:t>
            </w:r>
            <w:r>
              <w:rPr>
                <w:rFonts w:ascii="仿宋_GB2312" w:eastAsia="仿宋_GB2312" w:hAnsi="仿宋_GB2312" w:cs="仿宋_GB2312"/>
                <w:b/>
                <w:bCs/>
                <w:color w:val="000000"/>
                <w:szCs w:val="21"/>
                <w:shd w:val="clear" w:color="auto" w:fill="FFFFFF"/>
              </w:rPr>
              <w:t xml:space="preserve"> </w:t>
            </w:r>
          </w:p>
          <w:p w:rsidR="009E0124" w:rsidRDefault="009E0124" w:rsidP="009E0124">
            <w:pPr>
              <w:autoSpaceDE w:val="0"/>
              <w:autoSpaceDN w:val="0"/>
              <w:spacing w:line="240" w:lineRule="atLeast"/>
              <w:ind w:firstLineChars="200" w:firstLine="3168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b/>
                <w:bCs/>
                <w:color w:val="000000"/>
                <w:szCs w:val="21"/>
                <w:shd w:val="clear" w:color="auto" w:fill="FFFFFF"/>
              </w:rPr>
              <w:t>园区主导的</w:t>
            </w:r>
            <w:r>
              <w:rPr>
                <w:rFonts w:ascii="仿宋_GB2312" w:eastAsia="仿宋_GB2312" w:hAnsi="仿宋_GB2312" w:cs="仿宋_GB2312" w:hint="eastAsia"/>
                <w:b/>
                <w:bCs/>
                <w:szCs w:val="21"/>
              </w:rPr>
              <w:t>链式融资：</w:t>
            </w:r>
            <w:r>
              <w:rPr>
                <w:rFonts w:ascii="仿宋_GB2312" w:eastAsia="仿宋_GB2312" w:hAnsi="仿宋_GB2312" w:cs="仿宋_GB2312" w:hint="eastAsia"/>
                <w:color w:val="000000"/>
                <w:szCs w:val="21"/>
                <w:shd w:val="clear" w:color="auto" w:fill="FFFFFF"/>
              </w:rPr>
              <w:t>以</w:t>
            </w:r>
            <w:r>
              <w:rPr>
                <w:rFonts w:ascii="仿宋_GB2312" w:eastAsia="仿宋_GB2312" w:hAnsi="仿宋_GB2312" w:cs="仿宋_GB2312" w:hint="eastAsia"/>
                <w:color w:val="000000"/>
                <w:szCs w:val="21"/>
              </w:rPr>
              <w:t>石雕文化产业园</w:t>
            </w:r>
            <w:r>
              <w:rPr>
                <w:rFonts w:ascii="仿宋_GB2312" w:eastAsia="仿宋_GB2312" w:hAnsi="仿宋_GB2312" w:cs="仿宋_GB2312" w:hint="eastAsia"/>
                <w:color w:val="000000"/>
                <w:szCs w:val="21"/>
                <w:shd w:val="clear" w:color="auto" w:fill="FFFFFF"/>
              </w:rPr>
              <w:t>为依托，</w:t>
            </w:r>
            <w:r>
              <w:rPr>
                <w:rFonts w:ascii="仿宋_GB2312" w:eastAsia="仿宋_GB2312" w:hAnsi="仿宋_GB2312" w:cs="仿宋_GB2312" w:hint="eastAsia"/>
                <w:color w:val="000000"/>
                <w:szCs w:val="21"/>
              </w:rPr>
              <w:t>石雕</w:t>
            </w:r>
            <w:r>
              <w:rPr>
                <w:rFonts w:ascii="仿宋_GB2312" w:eastAsia="仿宋_GB2312" w:hAnsi="仿宋_GB2312" w:cs="仿宋_GB2312" w:hint="eastAsia"/>
                <w:color w:val="000000"/>
                <w:szCs w:val="21"/>
                <w:shd w:val="clear" w:color="auto" w:fill="FFFFFF"/>
              </w:rPr>
              <w:t>产业集群为对象，利用供应商、生产商、销售商、服务中介以及专业协会间纵向一体化的合作关系，满足</w:t>
            </w:r>
            <w:r>
              <w:rPr>
                <w:rFonts w:ascii="仿宋_GB2312" w:eastAsia="仿宋_GB2312" w:hAnsi="仿宋_GB2312" w:cs="仿宋_GB2312" w:hint="eastAsia"/>
                <w:color w:val="000000"/>
                <w:szCs w:val="21"/>
              </w:rPr>
              <w:t>石雕</w:t>
            </w:r>
            <w:r>
              <w:rPr>
                <w:rFonts w:ascii="仿宋_GB2312" w:eastAsia="仿宋_GB2312" w:hAnsi="仿宋_GB2312" w:cs="仿宋_GB2312" w:hint="eastAsia"/>
                <w:color w:val="000000"/>
                <w:szCs w:val="21"/>
                <w:shd w:val="clear" w:color="auto" w:fill="FFFFFF"/>
              </w:rPr>
              <w:t>产业链上经营户资金循环需求的金融制度安排。</w:t>
            </w:r>
          </w:p>
          <w:p w:rsidR="009E0124" w:rsidRDefault="009E0124" w:rsidP="009E0124">
            <w:pPr>
              <w:spacing w:line="240" w:lineRule="atLeast"/>
              <w:ind w:firstLineChars="200" w:firstLine="31680"/>
              <w:rPr>
                <w:rFonts w:ascii="仿宋_GB2312" w:eastAsia="仿宋_GB2312"/>
                <w:szCs w:val="21"/>
              </w:rPr>
            </w:pPr>
            <w:r>
              <w:rPr>
                <w:rFonts w:ascii="仿宋_GB2312" w:eastAsia="仿宋_GB2312" w:hint="eastAsia"/>
                <w:b/>
                <w:bCs/>
                <w:szCs w:val="21"/>
              </w:rPr>
              <w:t>石雕原石、成品抵押贷款</w:t>
            </w:r>
            <w:r>
              <w:rPr>
                <w:rFonts w:ascii="仿宋_GB2312" w:eastAsia="仿宋_GB2312" w:hAnsi="仿宋_GB2312" w:cs="仿宋_GB2312" w:hint="eastAsia"/>
                <w:b/>
                <w:bCs/>
                <w:szCs w:val="21"/>
              </w:rPr>
              <w:t>：</w:t>
            </w:r>
            <w:r>
              <w:rPr>
                <w:rFonts w:ascii="仿宋_GB2312" w:eastAsia="仿宋_GB2312" w:hAnsi="仿宋_GB2312" w:cs="仿宋_GB2312" w:hint="eastAsia"/>
                <w:szCs w:val="21"/>
              </w:rPr>
              <w:t>由石雕行业协会牵头，担保机构再担保，石雕持有人抵押，商业银行贷款“四位一体”的</w:t>
            </w:r>
            <w:r>
              <w:rPr>
                <w:rFonts w:ascii="仿宋_GB2312" w:eastAsia="仿宋_GB2312" w:hint="eastAsia"/>
                <w:szCs w:val="21"/>
              </w:rPr>
              <w:t>一种融资模式。</w:t>
            </w:r>
          </w:p>
          <w:p w:rsidR="009E0124" w:rsidRDefault="009E0124" w:rsidP="009E0124">
            <w:pPr>
              <w:pStyle w:val="NormalWeb"/>
              <w:widowControl/>
              <w:shd w:val="clear" w:color="auto" w:fill="FFFFFF"/>
              <w:spacing w:beforeAutospacing="0" w:afterAutospacing="0" w:line="240" w:lineRule="atLeast"/>
              <w:ind w:firstLineChars="200" w:firstLine="31680"/>
              <w:jc w:val="both"/>
              <w:rPr>
                <w:rFonts w:ascii="仿宋_GB2312" w:eastAsia="仿宋_GB2312" w:hAnsi="仿宋_GB2312" w:cs="仿宋_GB2312"/>
                <w:sz w:val="21"/>
                <w:szCs w:val="21"/>
              </w:rPr>
            </w:pPr>
            <w:r>
              <w:rPr>
                <w:rFonts w:ascii="仿宋_GB2312" w:eastAsia="仿宋_GB2312" w:hAnsi="仿宋_GB2312" w:cs="仿宋_GB2312" w:hint="eastAsia"/>
                <w:b/>
                <w:bCs/>
                <w:sz w:val="21"/>
                <w:szCs w:val="21"/>
              </w:rPr>
              <w:t>石雕特色小镇基础设施贷款：</w:t>
            </w:r>
            <w:r>
              <w:rPr>
                <w:rFonts w:ascii="仿宋_GB2312" w:eastAsia="仿宋_GB2312" w:hAnsi="仿宋_GB2312" w:cs="仿宋_GB2312" w:hint="eastAsia"/>
                <w:sz w:val="21"/>
                <w:szCs w:val="21"/>
              </w:rPr>
              <w:t>为石雕小镇基础设施建设等配套功能提供信贷支持。</w:t>
            </w:r>
          </w:p>
          <w:p w:rsidR="009E0124" w:rsidRDefault="009E0124" w:rsidP="009E0124">
            <w:pPr>
              <w:spacing w:line="240" w:lineRule="atLeast"/>
              <w:ind w:firstLineChars="200" w:firstLine="31680"/>
              <w:rPr>
                <w:rFonts w:ascii="仿宋_GB2312" w:eastAsia="仿宋_GB2312" w:hAnsi="仿宋_GB2312" w:cs="仿宋_GB2312"/>
              </w:rPr>
            </w:pPr>
            <w:r>
              <w:rPr>
                <w:rFonts w:ascii="仿宋_GB2312" w:eastAsia="仿宋_GB2312" w:hAnsi="仿宋_GB2312" w:cs="仿宋_GB2312" w:hint="eastAsia"/>
                <w:b/>
                <w:bCs/>
                <w:szCs w:val="21"/>
              </w:rPr>
              <w:t>“典石通宝”：</w:t>
            </w:r>
            <w:r>
              <w:rPr>
                <w:rFonts w:ascii="仿宋_GB2312" w:eastAsia="仿宋_GB2312" w:hAnsi="仿宋_GB2312" w:cs="仿宋_GB2312" w:hint="eastAsia"/>
              </w:rPr>
              <w:t>中行青田支行针对优质石雕中小企业或个人客户推出的融资服务。可以采用石雕作品及原石存货质押、其他企业保证等担保方式，还可以给予国家级或省级中国工艺美术大师实际控制的企业部分纯信用授信额度。具有授信金额大，审批流程短，担保方式灵活的特点。</w:t>
            </w:r>
          </w:p>
          <w:p w:rsidR="009E0124" w:rsidRDefault="009E0124" w:rsidP="009E0124">
            <w:pPr>
              <w:pStyle w:val="NormalWeb"/>
              <w:widowControl/>
              <w:shd w:val="clear" w:color="auto" w:fill="FFFFFF"/>
              <w:spacing w:beforeAutospacing="0" w:afterAutospacing="0" w:line="240" w:lineRule="atLeast"/>
              <w:ind w:firstLineChars="200" w:firstLine="31680"/>
              <w:jc w:val="both"/>
              <w:rPr>
                <w:rFonts w:ascii="仿宋_GB2312" w:eastAsia="仿宋_GB2312" w:hAnsi="仿宋_GB2312" w:cs="仿宋_GB2312"/>
                <w:sz w:val="21"/>
                <w:szCs w:val="21"/>
              </w:rPr>
            </w:pPr>
            <w:r>
              <w:rPr>
                <w:rFonts w:ascii="仿宋_GB2312" w:eastAsia="仿宋_GB2312" w:hint="eastAsia"/>
                <w:b/>
                <w:bCs/>
                <w:sz w:val="21"/>
                <w:szCs w:val="21"/>
              </w:rPr>
              <w:t>石雕项目</w:t>
            </w:r>
            <w:r>
              <w:rPr>
                <w:rFonts w:ascii="仿宋_GB2312" w:eastAsia="仿宋_GB2312" w:hAnsi="仿宋_GB2312" w:cs="仿宋_GB2312" w:hint="eastAsia"/>
                <w:b/>
                <w:bCs/>
                <w:sz w:val="21"/>
                <w:szCs w:val="21"/>
              </w:rPr>
              <w:t>众筹金融：</w:t>
            </w:r>
            <w:r>
              <w:rPr>
                <w:rFonts w:ascii="仿宋_GB2312" w:eastAsia="仿宋_GB2312" w:hAnsi="仿宋_GB2312" w:cs="仿宋_GB2312" w:hint="eastAsia"/>
                <w:sz w:val="21"/>
                <w:szCs w:val="21"/>
              </w:rPr>
              <w:t>该融资方式主要由民间投资者发起。石雕</w:t>
            </w:r>
            <w:r>
              <w:rPr>
                <w:rFonts w:ascii="仿宋_GB2312" w:eastAsia="仿宋_GB2312" w:hint="eastAsia"/>
                <w:sz w:val="21"/>
                <w:szCs w:val="21"/>
              </w:rPr>
              <w:t>投资项目</w:t>
            </w:r>
            <w:r>
              <w:rPr>
                <w:rFonts w:ascii="仿宋_GB2312" w:eastAsia="仿宋_GB2312" w:hAnsi="仿宋_GB2312" w:cs="仿宋_GB2312" w:hint="eastAsia"/>
                <w:sz w:val="21"/>
                <w:szCs w:val="21"/>
              </w:rPr>
              <w:t>众筹是一种非平台型众筹金融，采用的是“领投人</w:t>
            </w:r>
            <w:r>
              <w:rPr>
                <w:rFonts w:ascii="仿宋_GB2312" w:eastAsia="仿宋_GB2312" w:hAnsi="仿宋_GB2312" w:cs="仿宋_GB2312"/>
                <w:sz w:val="21"/>
                <w:szCs w:val="21"/>
              </w:rPr>
              <w:t>+</w:t>
            </w:r>
            <w:r>
              <w:rPr>
                <w:rFonts w:ascii="仿宋_GB2312" w:eastAsia="仿宋_GB2312" w:hAnsi="仿宋_GB2312" w:cs="仿宋_GB2312" w:hint="eastAsia"/>
                <w:sz w:val="21"/>
                <w:szCs w:val="21"/>
              </w:rPr>
              <w:t>跟投人”的模式。由行业的资深投资人作</w:t>
            </w:r>
            <w:r>
              <w:rPr>
                <w:rStyle w:val="Strong"/>
                <w:rFonts w:ascii="仿宋_GB2312" w:eastAsia="仿宋_GB2312" w:hAnsi="仿宋_GB2312" w:cs="仿宋_GB2312" w:hint="eastAsia"/>
                <w:bCs/>
                <w:color w:val="000000"/>
                <w:sz w:val="21"/>
                <w:szCs w:val="21"/>
                <w:shd w:val="clear" w:color="auto" w:fill="FFFFFF"/>
              </w:rPr>
              <w:t>为</w:t>
            </w:r>
            <w:r>
              <w:rPr>
                <w:rFonts w:ascii="仿宋_GB2312" w:eastAsia="仿宋_GB2312" w:hAnsi="仿宋_GB2312" w:cs="仿宋_GB2312" w:hint="eastAsia"/>
                <w:sz w:val="21"/>
                <w:szCs w:val="21"/>
              </w:rPr>
              <w:t>石雕投资项目的领投人。领投人对投资</w:t>
            </w:r>
            <w:r>
              <w:rPr>
                <w:rFonts w:ascii="仿宋_GB2312" w:eastAsia="仿宋_GB2312" w:hAnsi="仿宋_GB2312" w:cs="仿宋_GB2312" w:hint="eastAsia"/>
                <w:color w:val="000000"/>
                <w:sz w:val="21"/>
                <w:szCs w:val="21"/>
                <w:shd w:val="clear" w:color="auto" w:fill="FFFFFF"/>
              </w:rPr>
              <w:t>项目进行专业分析，若确实项目可行，让不具备相关专业知识的投资者自愿以参股的形式参与进来，这部分投资者就成为</w:t>
            </w:r>
            <w:r>
              <w:rPr>
                <w:rFonts w:ascii="仿宋_GB2312" w:eastAsia="仿宋_GB2312" w:hAnsi="仿宋_GB2312" w:cs="仿宋_GB2312" w:hint="eastAsia"/>
                <w:sz w:val="21"/>
                <w:szCs w:val="21"/>
              </w:rPr>
              <w:t>跟投人。随着时间推移，石雕原石或成品</w:t>
            </w:r>
            <w:r>
              <w:rPr>
                <w:rFonts w:ascii="仿宋_GB2312" w:eastAsia="仿宋_GB2312" w:hAnsi="仿宋_GB2312" w:cs="仿宋_GB2312" w:hint="eastAsia"/>
                <w:color w:val="000000"/>
                <w:sz w:val="21"/>
                <w:szCs w:val="21"/>
                <w:shd w:val="clear" w:color="auto" w:fill="FFFFFF"/>
              </w:rPr>
              <w:t>的估值增长，</w:t>
            </w:r>
            <w:r>
              <w:rPr>
                <w:rFonts w:ascii="仿宋_GB2312" w:eastAsia="仿宋_GB2312" w:hAnsi="仿宋_GB2312" w:cs="仿宋_GB2312" w:hint="eastAsia"/>
                <w:sz w:val="21"/>
                <w:szCs w:val="21"/>
              </w:rPr>
              <w:t>领投人就择机</w:t>
            </w:r>
            <w:r>
              <w:rPr>
                <w:rFonts w:ascii="仿宋_GB2312" w:eastAsia="仿宋_GB2312" w:hAnsi="仿宋_GB2312" w:cs="仿宋_GB2312" w:hint="eastAsia"/>
                <w:color w:val="000000"/>
                <w:sz w:val="21"/>
                <w:szCs w:val="21"/>
                <w:shd w:val="clear" w:color="auto" w:fill="FFFFFF"/>
              </w:rPr>
              <w:t>上市套现。扣除给付</w:t>
            </w:r>
            <w:r>
              <w:rPr>
                <w:rFonts w:ascii="仿宋_GB2312" w:eastAsia="仿宋_GB2312" w:hAnsi="仿宋_GB2312" w:cs="仿宋_GB2312" w:hint="eastAsia"/>
                <w:sz w:val="21"/>
                <w:szCs w:val="21"/>
              </w:rPr>
              <w:t>领投人的佣金后，跟投人按投资份额分得投资收益。</w:t>
            </w:r>
          </w:p>
          <w:p w:rsidR="009E0124" w:rsidRDefault="009E0124" w:rsidP="009E0124">
            <w:pPr>
              <w:autoSpaceDE w:val="0"/>
              <w:autoSpaceDN w:val="0"/>
              <w:spacing w:line="240" w:lineRule="atLeast"/>
              <w:ind w:firstLineChars="200" w:firstLine="31680"/>
              <w:rPr>
                <w:rFonts w:ascii="仿宋_GB2312" w:eastAsia="仿宋_GB2312" w:hAnsi="仿宋"/>
                <w:szCs w:val="21"/>
              </w:rPr>
            </w:pPr>
          </w:p>
        </w:tc>
      </w:tr>
    </w:tbl>
    <w:p w:rsidR="009E0124" w:rsidRDefault="009E0124" w:rsidP="009E0124">
      <w:pPr>
        <w:pStyle w:val="NormalWeb"/>
        <w:widowControl/>
        <w:shd w:val="clear" w:color="auto" w:fill="FFFFFF"/>
        <w:spacing w:beforeAutospacing="0" w:afterAutospacing="0" w:line="240" w:lineRule="atLeast"/>
        <w:ind w:firstLineChars="200" w:firstLine="31680"/>
        <w:jc w:val="both"/>
        <w:rPr>
          <w:rStyle w:val="Strong"/>
          <w:rFonts w:ascii="仿宋_GB2312" w:eastAsia="仿宋_GB2312" w:hAnsi="仿宋_GB2312" w:cs="仿宋_GB2312"/>
          <w:b/>
          <w:sz w:val="32"/>
          <w:szCs w:val="32"/>
        </w:rPr>
      </w:pPr>
      <w:r>
        <w:rPr>
          <w:rStyle w:val="Strong"/>
          <w:rFonts w:ascii="仿宋_GB2312" w:eastAsia="仿宋_GB2312" w:hAnsi="仿宋_GB2312" w:cs="仿宋_GB2312" w:hint="eastAsia"/>
          <w:b/>
          <w:sz w:val="32"/>
          <w:szCs w:val="32"/>
        </w:rPr>
        <w:t>四、电商金融生态圈工程</w:t>
      </w:r>
    </w:p>
    <w:p w:rsidR="009E0124" w:rsidRDefault="009E0124" w:rsidP="00255870">
      <w:pPr>
        <w:spacing w:line="560" w:lineRule="exact"/>
        <w:ind w:firstLineChars="200" w:firstLine="31680"/>
        <w:rPr>
          <w:kern w:val="0"/>
          <w:sz w:val="32"/>
          <w:szCs w:val="32"/>
        </w:rPr>
      </w:pPr>
      <w:r>
        <w:rPr>
          <w:rFonts w:ascii="仿宋_GB2312" w:eastAsia="仿宋_GB2312" w:hAnsi="仿宋_GB2312" w:cs="仿宋_GB2312" w:hint="eastAsia"/>
          <w:kern w:val="0"/>
          <w:sz w:val="32"/>
          <w:szCs w:val="32"/>
        </w:rPr>
        <w:t>鼓励银行与石雕电子商务平台、进口商品城电子商务平台等平台进行战略合作，共同打造集商品交易与金融交易为一体的交易平台。以交易带动融资，以融资促进交易，构建电商金融生态圈，促进融合发展，实现互利共赢。</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加强资金结算领域合作，依托银商转账模式或依托支付宝等第三方支付平台，实现交易商银行结算账户与交易平台专用结算账户之间资金</w:t>
      </w:r>
      <w:r w:rsidRPr="0053125F">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划转，以满足交易平台交易结算的需求。加强融资服务领域合作，整合对接电商平台供应链上的真实交易数据、物流数据、客户评价数据以及认证等信息，</w:t>
      </w:r>
      <w:r w:rsidRPr="0053125F">
        <w:rPr>
          <w:rFonts w:ascii="仿宋_GB2312" w:eastAsia="仿宋_GB2312" w:hAnsi="仿宋_GB2312" w:cs="仿宋_GB2312" w:hint="eastAsia"/>
          <w:sz w:val="32"/>
          <w:szCs w:val="32"/>
        </w:rPr>
        <w:t>综合</w:t>
      </w:r>
      <w:r>
        <w:rPr>
          <w:rFonts w:ascii="仿宋_GB2312" w:eastAsia="仿宋_GB2312" w:hAnsi="仿宋_GB2312" w:cs="仿宋_GB2312" w:hint="eastAsia"/>
          <w:sz w:val="32"/>
          <w:szCs w:val="32"/>
        </w:rPr>
        <w:t>评估小微企业的信用状况，为银行金融产品设计与风险控制提供依据，银行依据电商数据，向小微企业提供线上、批量化的融资服务。加强综合金融服务领域合作，银行依托电商平台，扩大金融产品销售渠道，银行利用自身的投融资、理财等传统金融服务优势，帮助电商平台提高用户流量，提升平台价值。</w:t>
      </w:r>
    </w:p>
    <w:p w:rsidR="009E0124" w:rsidRDefault="009E0124" w:rsidP="00255870">
      <w:pPr>
        <w:pStyle w:val="NormalWeb"/>
        <w:widowControl/>
        <w:spacing w:beforeAutospacing="0" w:afterAutospacing="0" w:line="560" w:lineRule="exact"/>
        <w:ind w:firstLineChars="200" w:firstLine="31680"/>
        <w:jc w:val="both"/>
        <w:rPr>
          <w:rFonts w:ascii="仿宋_GB2312" w:eastAsia="仿宋_GB2312" w:hAnsi="仿宋_GB2312" w:cs="仿宋_GB2312"/>
          <w:sz w:val="32"/>
          <w:szCs w:val="32"/>
        </w:rPr>
      </w:pPr>
    </w:p>
    <w:p w:rsidR="009E0124" w:rsidRDefault="009E0124" w:rsidP="00255870">
      <w:pPr>
        <w:pStyle w:val="NormalWeb"/>
        <w:widowControl/>
        <w:shd w:val="clear" w:color="auto" w:fill="FFFFFF"/>
        <w:spacing w:beforeAutospacing="0" w:afterAutospacing="0" w:line="560" w:lineRule="exact"/>
        <w:ind w:firstLineChars="695" w:firstLine="31680"/>
        <w:rPr>
          <w:rStyle w:val="Strong"/>
          <w:rFonts w:ascii="仿宋_GB2312" w:eastAsia="仿宋_GB2312" w:hAnsi="仿宋_GB2312" w:cs="仿宋_GB2312"/>
          <w:b/>
          <w:color w:val="2B2B2B"/>
          <w:sz w:val="36"/>
          <w:szCs w:val="36"/>
          <w:shd w:val="clear" w:color="auto" w:fill="FFFFFF"/>
        </w:rPr>
      </w:pPr>
      <w:r>
        <w:rPr>
          <w:rStyle w:val="Strong"/>
          <w:rFonts w:ascii="仿宋_GB2312" w:eastAsia="仿宋_GB2312" w:hAnsi="仿宋_GB2312" w:cs="仿宋_GB2312" w:hint="eastAsia"/>
          <w:b/>
          <w:color w:val="2B2B2B"/>
          <w:sz w:val="36"/>
          <w:szCs w:val="36"/>
          <w:shd w:val="clear" w:color="auto" w:fill="FFFFFF"/>
        </w:rPr>
        <w:t>第五章</w:t>
      </w:r>
      <w:r>
        <w:rPr>
          <w:rStyle w:val="Strong"/>
          <w:rFonts w:ascii="仿宋_GB2312" w:eastAsia="仿宋_GB2312" w:hAnsi="仿宋_GB2312" w:cs="仿宋_GB2312"/>
          <w:b/>
          <w:color w:val="2B2B2B"/>
          <w:sz w:val="36"/>
          <w:szCs w:val="36"/>
          <w:shd w:val="clear" w:color="auto" w:fill="FFFFFF"/>
        </w:rPr>
        <w:t xml:space="preserve">  </w:t>
      </w:r>
      <w:r>
        <w:rPr>
          <w:rStyle w:val="Strong"/>
          <w:rFonts w:ascii="仿宋_GB2312" w:eastAsia="仿宋_GB2312" w:hAnsi="仿宋_GB2312" w:cs="仿宋_GB2312" w:hint="eastAsia"/>
          <w:b/>
          <w:color w:val="2B2B2B"/>
          <w:sz w:val="36"/>
          <w:szCs w:val="36"/>
          <w:shd w:val="clear" w:color="auto" w:fill="FFFFFF"/>
        </w:rPr>
        <w:t>保障措施</w:t>
      </w:r>
    </w:p>
    <w:p w:rsidR="009E0124" w:rsidRDefault="009E0124" w:rsidP="00255870">
      <w:pPr>
        <w:pStyle w:val="NormalWeb"/>
        <w:widowControl/>
        <w:shd w:val="clear" w:color="auto" w:fill="FFFFFF"/>
        <w:spacing w:beforeAutospacing="0" w:afterAutospacing="0" w:line="560" w:lineRule="exact"/>
        <w:ind w:firstLineChars="695" w:firstLine="31680"/>
        <w:rPr>
          <w:rStyle w:val="Strong"/>
          <w:rFonts w:ascii="仿宋_GB2312" w:eastAsia="仿宋_GB2312" w:hAnsi="仿宋_GB2312" w:cs="仿宋_GB2312"/>
          <w:b/>
          <w:color w:val="2B2B2B"/>
          <w:sz w:val="36"/>
          <w:szCs w:val="36"/>
          <w:shd w:val="clear" w:color="auto" w:fill="FFFFFF"/>
        </w:rPr>
      </w:pP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int="eastAsia"/>
          <w:b/>
          <w:kern w:val="2"/>
          <w:sz w:val="32"/>
          <w:szCs w:val="32"/>
        </w:rPr>
        <w:t>一、加强组织领导</w:t>
      </w:r>
      <w:r>
        <w:rPr>
          <w:rFonts w:ascii="仿宋_GB2312" w:eastAsia="仿宋_GB2312" w:hint="eastAsia"/>
          <w:b/>
          <w:bCs/>
          <w:kern w:val="2"/>
          <w:sz w:val="32"/>
          <w:szCs w:val="32"/>
        </w:rPr>
        <w:t>。</w:t>
      </w:r>
      <w:r>
        <w:rPr>
          <w:rFonts w:ascii="仿宋_GB2312" w:eastAsia="仿宋_GB2312" w:hAnsi="仿宋_GB2312" w:cs="仿宋_GB2312" w:hint="eastAsia"/>
          <w:sz w:val="32"/>
          <w:szCs w:val="32"/>
        </w:rPr>
        <w:t>成立青田县金融产业改革发展领导小组，加强对规划实施的总体指导和统筹协调，解决规划实施过程中的重大问题，确保各项目标、任务和措施落实到位。将金融产业改革发展纳入到各相关部门工作目标责任制考核内容，强化部门责任。成立金融产业发展咨询委员会，充分发挥专业智库作用，为政府决策提供咨询和建议，形成促进金融产业快速发展的合力。</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int="eastAsia"/>
          <w:b/>
          <w:kern w:val="2"/>
          <w:sz w:val="32"/>
          <w:szCs w:val="32"/>
        </w:rPr>
        <w:t>二、完善配套政策。</w:t>
      </w:r>
      <w:r>
        <w:rPr>
          <w:rFonts w:ascii="仿宋_GB2312" w:eastAsia="仿宋_GB2312" w:hAnsi="仿宋_GB2312" w:cs="仿宋_GB2312" w:hint="eastAsia"/>
          <w:sz w:val="32"/>
          <w:szCs w:val="32"/>
        </w:rPr>
        <w:t>完善金融产业发展政策支持体系，争取国家金融创新等相关政策支持。设立金融创新奖励基金，鼓励金融机构开展产品、服务、技术及制度创新。制定出台支持各类投资基金、股权投资机构等发展的相关政策。探索引入金融业“负面清单”模式，创造公平竞争的金融环境。发挥再贷款、再贴现等货币政策的作用，支持经济结构调整，促进薄弱环节发展。</w:t>
      </w:r>
    </w:p>
    <w:p w:rsidR="009E0124" w:rsidRDefault="009E0124" w:rsidP="00255870">
      <w:pPr>
        <w:pStyle w:val="NormalWeb"/>
        <w:widowControl/>
        <w:shd w:val="clear" w:color="auto" w:fill="FFFFFF"/>
        <w:spacing w:beforeAutospacing="0" w:afterAutospacing="0" w:line="560" w:lineRule="exact"/>
        <w:ind w:firstLineChars="200" w:firstLine="31680"/>
        <w:jc w:val="both"/>
        <w:rPr>
          <w:rFonts w:ascii="仿宋_GB2312" w:eastAsia="仿宋_GB2312" w:hAnsi="仿宋_GB2312" w:cs="仿宋_GB2312"/>
          <w:sz w:val="32"/>
          <w:szCs w:val="32"/>
        </w:rPr>
      </w:pPr>
      <w:r>
        <w:rPr>
          <w:rFonts w:ascii="仿宋_GB2312" w:eastAsia="仿宋_GB2312" w:hint="eastAsia"/>
          <w:b/>
          <w:kern w:val="2"/>
          <w:sz w:val="32"/>
          <w:szCs w:val="32"/>
        </w:rPr>
        <w:t>三、建立实施机制。</w:t>
      </w:r>
      <w:r>
        <w:rPr>
          <w:rFonts w:ascii="仿宋_GB2312" w:eastAsia="仿宋_GB2312" w:hAnsi="仿宋_GB2312" w:cs="仿宋_GB2312" w:hint="eastAsia"/>
          <w:sz w:val="32"/>
          <w:szCs w:val="32"/>
        </w:rPr>
        <w:t>强化规划宣传，广泛采用电视新闻、平面媒体、金融论坛等多种方式和渠道宣传规划。强化规划实施，按照分工落实、分阶段推进、系统化实施的原则，将规划目标任务按年度分解落实到各相关部门，并纳入部门年度工作计划。</w:t>
      </w:r>
      <w:r w:rsidRPr="0053125F">
        <w:rPr>
          <w:rFonts w:ascii="仿宋_GB2312" w:eastAsia="仿宋_GB2312" w:hAnsi="仿宋_GB2312" w:cs="仿宋_GB2312" w:hint="eastAsia"/>
          <w:sz w:val="32"/>
          <w:szCs w:val="32"/>
        </w:rPr>
        <w:t>突出项目带动，发挥金融重大项目对规划实施的支撑带动作用，围绕融资服务、金融市场建设、金融组织体系建设、金融基础设施建设、金融创新和金融稳定等领域，集中力量推动实施一批重大金融项目，形成示范带动效应。</w:t>
      </w:r>
      <w:r>
        <w:rPr>
          <w:rFonts w:ascii="仿宋_GB2312" w:eastAsia="仿宋_GB2312" w:hAnsi="仿宋_GB2312" w:cs="仿宋_GB2312" w:hint="eastAsia"/>
          <w:sz w:val="32"/>
          <w:szCs w:val="32"/>
        </w:rPr>
        <w:t xml:space="preserve">强化规划评估，建立规划落实情况的反馈机制与考核评估机制，对预期性目标进行动态监测和评估，切实推进规划落实。　</w:t>
      </w:r>
    </w:p>
    <w:p w:rsidR="009E0124" w:rsidRDefault="009E0124" w:rsidP="007C0DDA">
      <w:pPr>
        <w:pStyle w:val="NormalWeb"/>
        <w:widowControl/>
        <w:spacing w:beforeAutospacing="0" w:afterAutospacing="0" w:line="560" w:lineRule="exact"/>
        <w:ind w:firstLineChars="200" w:firstLine="31680"/>
        <w:jc w:val="both"/>
        <w:rPr>
          <w:rFonts w:ascii="仿宋_GB2312" w:eastAsia="仿宋_GB2312" w:hAnsi="仿宋_GB2312" w:cs="仿宋_GB2312"/>
          <w:sz w:val="28"/>
          <w:szCs w:val="28"/>
        </w:rPr>
      </w:pPr>
      <w:r>
        <w:rPr>
          <w:rFonts w:ascii="仿宋_GB2312" w:eastAsia="仿宋_GB2312" w:hint="eastAsia"/>
          <w:b/>
          <w:kern w:val="2"/>
          <w:sz w:val="32"/>
          <w:szCs w:val="32"/>
        </w:rPr>
        <w:t>四、强化人才保障。</w:t>
      </w:r>
      <w:r>
        <w:rPr>
          <w:rFonts w:ascii="仿宋_GB2312" w:eastAsia="仿宋_GB2312" w:hAnsi="仿宋_GB2312" w:cs="仿宋_GB2312" w:hint="eastAsia"/>
          <w:sz w:val="32"/>
          <w:szCs w:val="32"/>
        </w:rPr>
        <w:t>培养引进一批具有国际视野、通晓经济金融运行规则、熟悉经济金融法律制度、精通金融业务和金融创新的外向型、复合型人才。</w:t>
      </w:r>
      <w:r w:rsidRPr="0053125F">
        <w:rPr>
          <w:rFonts w:ascii="仿宋_GB2312" w:eastAsia="仿宋_GB2312" w:hAnsi="仿宋_GB2312" w:cs="仿宋_GB2312" w:hint="eastAsia"/>
          <w:sz w:val="32"/>
          <w:szCs w:val="32"/>
        </w:rPr>
        <w:t>与省内外高校建立合作机制，定期加强对本地金融从业人员的培训，整合本地金融资源，探索建立金融科研培训基地。</w:t>
      </w:r>
      <w:r>
        <w:rPr>
          <w:rFonts w:ascii="仿宋_GB2312" w:eastAsia="仿宋_GB2312" w:hAnsi="仿宋_GB2312" w:cs="仿宋_GB2312" w:hint="eastAsia"/>
          <w:sz w:val="32"/>
          <w:szCs w:val="32"/>
        </w:rPr>
        <w:t>出台和完善引进金融高层次人才专项补助、生活补助、特殊津贴等政策，为金融人才展业展能创造良好的制度环境。建立金融人才职业晋升通道，营造“安得下心、留得住人、用得起人”的金融人才职业发展氛围。</w:t>
      </w:r>
    </w:p>
    <w:sectPr w:rsidR="009E0124" w:rsidSect="00142C0B">
      <w:headerReference w:type="default" r:id="rId19"/>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24" w:rsidRDefault="009E0124" w:rsidP="00142C0B">
      <w:r>
        <w:separator/>
      </w:r>
    </w:p>
  </w:endnote>
  <w:endnote w:type="continuationSeparator" w:id="0">
    <w:p w:rsidR="009E0124" w:rsidRDefault="009E0124" w:rsidP="00142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modern"/>
    <w:notTrueType/>
    <w:pitch w:val="fixed"/>
    <w:sig w:usb0="00000001" w:usb1="080E0000" w:usb2="00000010" w:usb3="00000000" w:csb0="00040000" w:csb1="00000000"/>
  </w:font>
  <w:font w:name="_x000B__x000C_">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24" w:rsidRDefault="009E0124">
    <w:pPr>
      <w:pStyle w:val="Footer"/>
    </w:pPr>
    <w:r>
      <w:rPr>
        <w:noProof/>
      </w:rPr>
      <w:pict>
        <v:shapetype id="_x0000_t202" coordsize="21600,21600" o:spt="202" path="m,l,21600r21600,l21600,xe">
          <v:stroke joinstyle="miter"/>
          <v:path gradientshapeok="t" o:connecttype="rect"/>
        </v:shapetype>
        <v:shape id="Quad Arrow 3073"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9E0124" w:rsidRDefault="009E0124">
                <w:pPr>
                  <w:snapToGrid w:val="0"/>
                  <w:rPr>
                    <w:sz w:val="18"/>
                  </w:rPr>
                </w:pPr>
                <w:fldSimple w:instr=" PAGE  \* MERGEFORMAT ">
                  <w:r w:rsidRPr="00E84572">
                    <w:rPr>
                      <w:noProof/>
                      <w:sz w:val="18"/>
                    </w:rPr>
                    <w:t>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24" w:rsidRDefault="009E0124" w:rsidP="00142C0B">
      <w:r>
        <w:separator/>
      </w:r>
    </w:p>
  </w:footnote>
  <w:footnote w:type="continuationSeparator" w:id="0">
    <w:p w:rsidR="009E0124" w:rsidRDefault="009E0124" w:rsidP="00142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24" w:rsidRDefault="009E0124">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E92BE0"/>
    <w:rsid w:val="00021B6F"/>
    <w:rsid w:val="000228DE"/>
    <w:rsid w:val="00041AC7"/>
    <w:rsid w:val="00045EBF"/>
    <w:rsid w:val="0004654D"/>
    <w:rsid w:val="00046AFC"/>
    <w:rsid w:val="00073845"/>
    <w:rsid w:val="00094B31"/>
    <w:rsid w:val="000B70DC"/>
    <w:rsid w:val="000C6508"/>
    <w:rsid w:val="000E38B0"/>
    <w:rsid w:val="000E45ED"/>
    <w:rsid w:val="00117402"/>
    <w:rsid w:val="00142C0B"/>
    <w:rsid w:val="00143996"/>
    <w:rsid w:val="00146563"/>
    <w:rsid w:val="001605F0"/>
    <w:rsid w:val="00172F22"/>
    <w:rsid w:val="001A4211"/>
    <w:rsid w:val="001B2477"/>
    <w:rsid w:val="001B683A"/>
    <w:rsid w:val="001D575A"/>
    <w:rsid w:val="002045C5"/>
    <w:rsid w:val="00205087"/>
    <w:rsid w:val="002061D7"/>
    <w:rsid w:val="00226D5C"/>
    <w:rsid w:val="002326A7"/>
    <w:rsid w:val="002512D4"/>
    <w:rsid w:val="00255870"/>
    <w:rsid w:val="00263C4E"/>
    <w:rsid w:val="00264098"/>
    <w:rsid w:val="00280739"/>
    <w:rsid w:val="00280800"/>
    <w:rsid w:val="002D6E68"/>
    <w:rsid w:val="002F05D7"/>
    <w:rsid w:val="002F55BC"/>
    <w:rsid w:val="003165C0"/>
    <w:rsid w:val="00322851"/>
    <w:rsid w:val="00347D7B"/>
    <w:rsid w:val="00350996"/>
    <w:rsid w:val="003572D3"/>
    <w:rsid w:val="00382A87"/>
    <w:rsid w:val="003B513C"/>
    <w:rsid w:val="003C7849"/>
    <w:rsid w:val="003D0411"/>
    <w:rsid w:val="003D1EC7"/>
    <w:rsid w:val="00417E09"/>
    <w:rsid w:val="00424346"/>
    <w:rsid w:val="00431197"/>
    <w:rsid w:val="004318E5"/>
    <w:rsid w:val="00434EC6"/>
    <w:rsid w:val="004A68E8"/>
    <w:rsid w:val="004D4430"/>
    <w:rsid w:val="004E0780"/>
    <w:rsid w:val="0053125F"/>
    <w:rsid w:val="005630A3"/>
    <w:rsid w:val="00585974"/>
    <w:rsid w:val="00590839"/>
    <w:rsid w:val="005973CF"/>
    <w:rsid w:val="0059796B"/>
    <w:rsid w:val="005B5909"/>
    <w:rsid w:val="005C0706"/>
    <w:rsid w:val="005C3340"/>
    <w:rsid w:val="005F338C"/>
    <w:rsid w:val="005F3EBB"/>
    <w:rsid w:val="00602721"/>
    <w:rsid w:val="00610F1C"/>
    <w:rsid w:val="0065349E"/>
    <w:rsid w:val="0066008C"/>
    <w:rsid w:val="00662C94"/>
    <w:rsid w:val="00665F31"/>
    <w:rsid w:val="006723C7"/>
    <w:rsid w:val="00672BAD"/>
    <w:rsid w:val="006770A4"/>
    <w:rsid w:val="00680759"/>
    <w:rsid w:val="00681048"/>
    <w:rsid w:val="006A1203"/>
    <w:rsid w:val="006C19DD"/>
    <w:rsid w:val="006D0F37"/>
    <w:rsid w:val="006D5BB2"/>
    <w:rsid w:val="006F03DB"/>
    <w:rsid w:val="007242DE"/>
    <w:rsid w:val="00727DDD"/>
    <w:rsid w:val="00752B0E"/>
    <w:rsid w:val="00757A2F"/>
    <w:rsid w:val="007613D5"/>
    <w:rsid w:val="0078657E"/>
    <w:rsid w:val="007A3DA2"/>
    <w:rsid w:val="007C0DDA"/>
    <w:rsid w:val="007D762E"/>
    <w:rsid w:val="007E6CB9"/>
    <w:rsid w:val="007F0761"/>
    <w:rsid w:val="00812C50"/>
    <w:rsid w:val="0081568A"/>
    <w:rsid w:val="00816024"/>
    <w:rsid w:val="0081629E"/>
    <w:rsid w:val="00823FD7"/>
    <w:rsid w:val="00834839"/>
    <w:rsid w:val="00851021"/>
    <w:rsid w:val="0085320E"/>
    <w:rsid w:val="008851FA"/>
    <w:rsid w:val="008C080E"/>
    <w:rsid w:val="009308D1"/>
    <w:rsid w:val="0095781D"/>
    <w:rsid w:val="0099035D"/>
    <w:rsid w:val="009A15F6"/>
    <w:rsid w:val="009C6641"/>
    <w:rsid w:val="009D4BD7"/>
    <w:rsid w:val="009E0124"/>
    <w:rsid w:val="009E0C60"/>
    <w:rsid w:val="00A37E83"/>
    <w:rsid w:val="00A628FE"/>
    <w:rsid w:val="00A82FE2"/>
    <w:rsid w:val="00A97484"/>
    <w:rsid w:val="00AC43A9"/>
    <w:rsid w:val="00AD12FC"/>
    <w:rsid w:val="00AD1321"/>
    <w:rsid w:val="00AF51A8"/>
    <w:rsid w:val="00B11ECD"/>
    <w:rsid w:val="00B11EF9"/>
    <w:rsid w:val="00B26606"/>
    <w:rsid w:val="00B32959"/>
    <w:rsid w:val="00B47D5B"/>
    <w:rsid w:val="00B72D25"/>
    <w:rsid w:val="00B9083A"/>
    <w:rsid w:val="00BA67BD"/>
    <w:rsid w:val="00BB5383"/>
    <w:rsid w:val="00C147FE"/>
    <w:rsid w:val="00C262E6"/>
    <w:rsid w:val="00C4029B"/>
    <w:rsid w:val="00C5011E"/>
    <w:rsid w:val="00C63C20"/>
    <w:rsid w:val="00C6654F"/>
    <w:rsid w:val="00C757D6"/>
    <w:rsid w:val="00C924F0"/>
    <w:rsid w:val="00CB2F46"/>
    <w:rsid w:val="00CF07D5"/>
    <w:rsid w:val="00D14727"/>
    <w:rsid w:val="00D41CEF"/>
    <w:rsid w:val="00D909CD"/>
    <w:rsid w:val="00DA42E5"/>
    <w:rsid w:val="00DB5EC1"/>
    <w:rsid w:val="00DE5D3C"/>
    <w:rsid w:val="00E30707"/>
    <w:rsid w:val="00E30E55"/>
    <w:rsid w:val="00E44CAC"/>
    <w:rsid w:val="00E46AC0"/>
    <w:rsid w:val="00E61854"/>
    <w:rsid w:val="00E84572"/>
    <w:rsid w:val="00E84CBD"/>
    <w:rsid w:val="00E93E71"/>
    <w:rsid w:val="00E97BB7"/>
    <w:rsid w:val="00EA1F3B"/>
    <w:rsid w:val="00EA4E62"/>
    <w:rsid w:val="00EB34D7"/>
    <w:rsid w:val="00EB5891"/>
    <w:rsid w:val="00EB7B7B"/>
    <w:rsid w:val="00ED2230"/>
    <w:rsid w:val="00F04AB8"/>
    <w:rsid w:val="00F16F98"/>
    <w:rsid w:val="00F30000"/>
    <w:rsid w:val="00F31000"/>
    <w:rsid w:val="00F31C9F"/>
    <w:rsid w:val="00F378FF"/>
    <w:rsid w:val="00F619E3"/>
    <w:rsid w:val="00F71285"/>
    <w:rsid w:val="00F764BB"/>
    <w:rsid w:val="00F84AC4"/>
    <w:rsid w:val="00FB5C50"/>
    <w:rsid w:val="00FE4FE7"/>
    <w:rsid w:val="00FF79D6"/>
    <w:rsid w:val="010D135D"/>
    <w:rsid w:val="0142775F"/>
    <w:rsid w:val="01440C2A"/>
    <w:rsid w:val="014B0111"/>
    <w:rsid w:val="01621169"/>
    <w:rsid w:val="01781493"/>
    <w:rsid w:val="018028CB"/>
    <w:rsid w:val="01AA44FB"/>
    <w:rsid w:val="01CF6233"/>
    <w:rsid w:val="01E11A71"/>
    <w:rsid w:val="01E356EC"/>
    <w:rsid w:val="02133219"/>
    <w:rsid w:val="021A27EE"/>
    <w:rsid w:val="025177FF"/>
    <w:rsid w:val="02642CC0"/>
    <w:rsid w:val="0288053F"/>
    <w:rsid w:val="0292220B"/>
    <w:rsid w:val="02A663E6"/>
    <w:rsid w:val="02A672A5"/>
    <w:rsid w:val="02BC629D"/>
    <w:rsid w:val="02C16FAF"/>
    <w:rsid w:val="02CB0AA0"/>
    <w:rsid w:val="02D117A1"/>
    <w:rsid w:val="02F5303E"/>
    <w:rsid w:val="0320204F"/>
    <w:rsid w:val="032F6020"/>
    <w:rsid w:val="032F6A87"/>
    <w:rsid w:val="03331875"/>
    <w:rsid w:val="03570DF2"/>
    <w:rsid w:val="035E66F0"/>
    <w:rsid w:val="03AC3954"/>
    <w:rsid w:val="03C708C0"/>
    <w:rsid w:val="03E71957"/>
    <w:rsid w:val="03F97C93"/>
    <w:rsid w:val="03FA473B"/>
    <w:rsid w:val="03FB2EAC"/>
    <w:rsid w:val="03FB57F7"/>
    <w:rsid w:val="04141A6F"/>
    <w:rsid w:val="04283DFD"/>
    <w:rsid w:val="042C4C36"/>
    <w:rsid w:val="043A3F7F"/>
    <w:rsid w:val="046031D1"/>
    <w:rsid w:val="04643E4E"/>
    <w:rsid w:val="04A552D4"/>
    <w:rsid w:val="04CF0732"/>
    <w:rsid w:val="04E97D4E"/>
    <w:rsid w:val="05337F9C"/>
    <w:rsid w:val="054379B4"/>
    <w:rsid w:val="05586751"/>
    <w:rsid w:val="057E7670"/>
    <w:rsid w:val="05902417"/>
    <w:rsid w:val="05976E05"/>
    <w:rsid w:val="05A25273"/>
    <w:rsid w:val="05B8784B"/>
    <w:rsid w:val="05EE3108"/>
    <w:rsid w:val="060645C1"/>
    <w:rsid w:val="06366847"/>
    <w:rsid w:val="0677759D"/>
    <w:rsid w:val="067A4621"/>
    <w:rsid w:val="067C1401"/>
    <w:rsid w:val="06BB0D5D"/>
    <w:rsid w:val="06C57E86"/>
    <w:rsid w:val="06CF57B6"/>
    <w:rsid w:val="06DF6D38"/>
    <w:rsid w:val="06EC555A"/>
    <w:rsid w:val="07092190"/>
    <w:rsid w:val="0752134A"/>
    <w:rsid w:val="075E1918"/>
    <w:rsid w:val="07951859"/>
    <w:rsid w:val="07B248AC"/>
    <w:rsid w:val="07BD0110"/>
    <w:rsid w:val="07C54D00"/>
    <w:rsid w:val="08022F16"/>
    <w:rsid w:val="080E005A"/>
    <w:rsid w:val="081D2173"/>
    <w:rsid w:val="08274F33"/>
    <w:rsid w:val="0839121B"/>
    <w:rsid w:val="083A7F43"/>
    <w:rsid w:val="086238D5"/>
    <w:rsid w:val="08803DCF"/>
    <w:rsid w:val="08D7343B"/>
    <w:rsid w:val="08EB5CEE"/>
    <w:rsid w:val="08F16CB7"/>
    <w:rsid w:val="0915293F"/>
    <w:rsid w:val="093B4027"/>
    <w:rsid w:val="094C09C9"/>
    <w:rsid w:val="09677900"/>
    <w:rsid w:val="09786DC7"/>
    <w:rsid w:val="097970EE"/>
    <w:rsid w:val="097A0881"/>
    <w:rsid w:val="09CD3B7B"/>
    <w:rsid w:val="09DD0C1F"/>
    <w:rsid w:val="0A255E46"/>
    <w:rsid w:val="0A327C12"/>
    <w:rsid w:val="0A3542F7"/>
    <w:rsid w:val="0A37153E"/>
    <w:rsid w:val="0A3E1CEB"/>
    <w:rsid w:val="0A471072"/>
    <w:rsid w:val="0A4939A3"/>
    <w:rsid w:val="0A7174A1"/>
    <w:rsid w:val="0A802CCF"/>
    <w:rsid w:val="0A8560ED"/>
    <w:rsid w:val="0A941742"/>
    <w:rsid w:val="0A9B66BC"/>
    <w:rsid w:val="0AA564DB"/>
    <w:rsid w:val="0AB62AA0"/>
    <w:rsid w:val="0AC112AD"/>
    <w:rsid w:val="0AD637A5"/>
    <w:rsid w:val="0B006C8C"/>
    <w:rsid w:val="0B093F96"/>
    <w:rsid w:val="0B127B6E"/>
    <w:rsid w:val="0B205F40"/>
    <w:rsid w:val="0B3D70E9"/>
    <w:rsid w:val="0B3E2D6C"/>
    <w:rsid w:val="0B4E43C3"/>
    <w:rsid w:val="0B641CA7"/>
    <w:rsid w:val="0B6C12D6"/>
    <w:rsid w:val="0B85132C"/>
    <w:rsid w:val="0B8C663C"/>
    <w:rsid w:val="0B903CAB"/>
    <w:rsid w:val="0B941B55"/>
    <w:rsid w:val="0B9A51F1"/>
    <w:rsid w:val="0BCA0617"/>
    <w:rsid w:val="0BD22307"/>
    <w:rsid w:val="0BD347EE"/>
    <w:rsid w:val="0BEF1EE3"/>
    <w:rsid w:val="0C032B0B"/>
    <w:rsid w:val="0C082D53"/>
    <w:rsid w:val="0C08525A"/>
    <w:rsid w:val="0C1A53A9"/>
    <w:rsid w:val="0C3D52DA"/>
    <w:rsid w:val="0C3D5924"/>
    <w:rsid w:val="0C403FFE"/>
    <w:rsid w:val="0C474E2A"/>
    <w:rsid w:val="0C4B3FAF"/>
    <w:rsid w:val="0C567F79"/>
    <w:rsid w:val="0C5F6709"/>
    <w:rsid w:val="0C8A5806"/>
    <w:rsid w:val="0CAB27BE"/>
    <w:rsid w:val="0CCE3BE7"/>
    <w:rsid w:val="0CD030FF"/>
    <w:rsid w:val="0CE0512D"/>
    <w:rsid w:val="0CE24C24"/>
    <w:rsid w:val="0D3372F4"/>
    <w:rsid w:val="0D55642B"/>
    <w:rsid w:val="0D5E6D2A"/>
    <w:rsid w:val="0D5F7FF1"/>
    <w:rsid w:val="0D763C55"/>
    <w:rsid w:val="0D840FAA"/>
    <w:rsid w:val="0D8E3423"/>
    <w:rsid w:val="0DBC2A07"/>
    <w:rsid w:val="0DD67CA1"/>
    <w:rsid w:val="0DE868FB"/>
    <w:rsid w:val="0DEA5699"/>
    <w:rsid w:val="0DEE5B76"/>
    <w:rsid w:val="0DF501DD"/>
    <w:rsid w:val="0E2349BE"/>
    <w:rsid w:val="0E2861BF"/>
    <w:rsid w:val="0E2972F5"/>
    <w:rsid w:val="0E527B2F"/>
    <w:rsid w:val="0E556276"/>
    <w:rsid w:val="0E6140F8"/>
    <w:rsid w:val="0E7576AF"/>
    <w:rsid w:val="0E940A82"/>
    <w:rsid w:val="0E9A338B"/>
    <w:rsid w:val="0EA122DB"/>
    <w:rsid w:val="0EAC0566"/>
    <w:rsid w:val="0EB44B9D"/>
    <w:rsid w:val="0EBE67EB"/>
    <w:rsid w:val="0EDD3930"/>
    <w:rsid w:val="0EF3091E"/>
    <w:rsid w:val="0EF66908"/>
    <w:rsid w:val="0EF864A1"/>
    <w:rsid w:val="0F09034D"/>
    <w:rsid w:val="0F2664AB"/>
    <w:rsid w:val="0F431082"/>
    <w:rsid w:val="0F627753"/>
    <w:rsid w:val="0F72771C"/>
    <w:rsid w:val="0F754D07"/>
    <w:rsid w:val="0FB1311E"/>
    <w:rsid w:val="0FB52C60"/>
    <w:rsid w:val="0FB668D2"/>
    <w:rsid w:val="0FB70CBB"/>
    <w:rsid w:val="0FBC7F7F"/>
    <w:rsid w:val="0FE33957"/>
    <w:rsid w:val="0FF61A4A"/>
    <w:rsid w:val="102507A6"/>
    <w:rsid w:val="10526815"/>
    <w:rsid w:val="10B662A0"/>
    <w:rsid w:val="10BF4A29"/>
    <w:rsid w:val="10C71B0A"/>
    <w:rsid w:val="10E71187"/>
    <w:rsid w:val="11014B3D"/>
    <w:rsid w:val="110B7B15"/>
    <w:rsid w:val="111C2AE1"/>
    <w:rsid w:val="116B6EAE"/>
    <w:rsid w:val="11A87CCB"/>
    <w:rsid w:val="11BA4376"/>
    <w:rsid w:val="11D13D17"/>
    <w:rsid w:val="11F32D64"/>
    <w:rsid w:val="1236715C"/>
    <w:rsid w:val="12433FAF"/>
    <w:rsid w:val="12504C63"/>
    <w:rsid w:val="125557E4"/>
    <w:rsid w:val="12697B9C"/>
    <w:rsid w:val="12821206"/>
    <w:rsid w:val="12A07CC3"/>
    <w:rsid w:val="12D80B98"/>
    <w:rsid w:val="131C29E9"/>
    <w:rsid w:val="132E0331"/>
    <w:rsid w:val="135D7E03"/>
    <w:rsid w:val="138422DB"/>
    <w:rsid w:val="13B764B7"/>
    <w:rsid w:val="14364089"/>
    <w:rsid w:val="143C3ACF"/>
    <w:rsid w:val="14557793"/>
    <w:rsid w:val="145C7785"/>
    <w:rsid w:val="1479294B"/>
    <w:rsid w:val="14844469"/>
    <w:rsid w:val="1485226B"/>
    <w:rsid w:val="148B57C7"/>
    <w:rsid w:val="14971971"/>
    <w:rsid w:val="149F4662"/>
    <w:rsid w:val="14CE5CFA"/>
    <w:rsid w:val="14D14F3E"/>
    <w:rsid w:val="14E4178C"/>
    <w:rsid w:val="14FE1D77"/>
    <w:rsid w:val="153764FD"/>
    <w:rsid w:val="153F7D4A"/>
    <w:rsid w:val="15446BEA"/>
    <w:rsid w:val="155A7BCD"/>
    <w:rsid w:val="157A50E1"/>
    <w:rsid w:val="158703D3"/>
    <w:rsid w:val="15B82DB8"/>
    <w:rsid w:val="15BC4236"/>
    <w:rsid w:val="15C64732"/>
    <w:rsid w:val="15ED60D9"/>
    <w:rsid w:val="15EE6E60"/>
    <w:rsid w:val="161449B9"/>
    <w:rsid w:val="1638145D"/>
    <w:rsid w:val="16413C94"/>
    <w:rsid w:val="16485134"/>
    <w:rsid w:val="16733901"/>
    <w:rsid w:val="167E2D9B"/>
    <w:rsid w:val="168F7C57"/>
    <w:rsid w:val="16A53F15"/>
    <w:rsid w:val="16A62456"/>
    <w:rsid w:val="16B77D54"/>
    <w:rsid w:val="16CA2CD0"/>
    <w:rsid w:val="171E70D8"/>
    <w:rsid w:val="17662F2D"/>
    <w:rsid w:val="176F40B9"/>
    <w:rsid w:val="17935731"/>
    <w:rsid w:val="179A4D16"/>
    <w:rsid w:val="17B34D1C"/>
    <w:rsid w:val="17B77437"/>
    <w:rsid w:val="17CE0EEC"/>
    <w:rsid w:val="17D34ED6"/>
    <w:rsid w:val="17D93186"/>
    <w:rsid w:val="17DC4231"/>
    <w:rsid w:val="17E90573"/>
    <w:rsid w:val="180E48CB"/>
    <w:rsid w:val="1812102C"/>
    <w:rsid w:val="18223B53"/>
    <w:rsid w:val="186B2766"/>
    <w:rsid w:val="18942EFD"/>
    <w:rsid w:val="18A4104D"/>
    <w:rsid w:val="18CA352F"/>
    <w:rsid w:val="18D96889"/>
    <w:rsid w:val="18DE6968"/>
    <w:rsid w:val="18E90919"/>
    <w:rsid w:val="18F5475D"/>
    <w:rsid w:val="192E6D0C"/>
    <w:rsid w:val="194A04A8"/>
    <w:rsid w:val="196C1E27"/>
    <w:rsid w:val="1991066F"/>
    <w:rsid w:val="19B05358"/>
    <w:rsid w:val="19B10ED1"/>
    <w:rsid w:val="19CA6696"/>
    <w:rsid w:val="1A0179EE"/>
    <w:rsid w:val="1A0E37E8"/>
    <w:rsid w:val="1A28251F"/>
    <w:rsid w:val="1A610D23"/>
    <w:rsid w:val="1A7A3255"/>
    <w:rsid w:val="1A9A6E26"/>
    <w:rsid w:val="1A9C1E45"/>
    <w:rsid w:val="1AB26C69"/>
    <w:rsid w:val="1AB54483"/>
    <w:rsid w:val="1AB761B9"/>
    <w:rsid w:val="1ABF0ACE"/>
    <w:rsid w:val="1AE6417E"/>
    <w:rsid w:val="1AFE018E"/>
    <w:rsid w:val="1B04498B"/>
    <w:rsid w:val="1B0776AA"/>
    <w:rsid w:val="1B095240"/>
    <w:rsid w:val="1B0A43E8"/>
    <w:rsid w:val="1B2A06EB"/>
    <w:rsid w:val="1B410F0A"/>
    <w:rsid w:val="1B5A04AD"/>
    <w:rsid w:val="1B80428E"/>
    <w:rsid w:val="1BA335B7"/>
    <w:rsid w:val="1BB5049C"/>
    <w:rsid w:val="1BB75806"/>
    <w:rsid w:val="1BCB40D0"/>
    <w:rsid w:val="1BCB6010"/>
    <w:rsid w:val="1BD07895"/>
    <w:rsid w:val="1BE05E35"/>
    <w:rsid w:val="1C05288F"/>
    <w:rsid w:val="1C0A0C1F"/>
    <w:rsid w:val="1C351274"/>
    <w:rsid w:val="1C446D8C"/>
    <w:rsid w:val="1C6C5CC5"/>
    <w:rsid w:val="1C8B57A0"/>
    <w:rsid w:val="1C8F4D68"/>
    <w:rsid w:val="1CC92C07"/>
    <w:rsid w:val="1CE426A1"/>
    <w:rsid w:val="1CF646BD"/>
    <w:rsid w:val="1D020BD0"/>
    <w:rsid w:val="1D1304F8"/>
    <w:rsid w:val="1D173C1C"/>
    <w:rsid w:val="1D266AA8"/>
    <w:rsid w:val="1D2D428A"/>
    <w:rsid w:val="1D317185"/>
    <w:rsid w:val="1D3A1EAC"/>
    <w:rsid w:val="1D7740E8"/>
    <w:rsid w:val="1D8D3C0A"/>
    <w:rsid w:val="1D9C365D"/>
    <w:rsid w:val="1DAB5F7B"/>
    <w:rsid w:val="1DB21BAE"/>
    <w:rsid w:val="1DD074B4"/>
    <w:rsid w:val="1DD433AB"/>
    <w:rsid w:val="1DFF2140"/>
    <w:rsid w:val="1E04496F"/>
    <w:rsid w:val="1E0B1204"/>
    <w:rsid w:val="1E7377EF"/>
    <w:rsid w:val="1E762CA4"/>
    <w:rsid w:val="1E912A56"/>
    <w:rsid w:val="1EDE1AAC"/>
    <w:rsid w:val="1EE56BB7"/>
    <w:rsid w:val="1F1133E1"/>
    <w:rsid w:val="1F1862BD"/>
    <w:rsid w:val="1F2E012D"/>
    <w:rsid w:val="1F332B95"/>
    <w:rsid w:val="1F757E39"/>
    <w:rsid w:val="1F7D6E36"/>
    <w:rsid w:val="1F917984"/>
    <w:rsid w:val="1FA56BFC"/>
    <w:rsid w:val="1FA75435"/>
    <w:rsid w:val="1FB64FFA"/>
    <w:rsid w:val="1FEF3A31"/>
    <w:rsid w:val="20043E49"/>
    <w:rsid w:val="204B1051"/>
    <w:rsid w:val="20610107"/>
    <w:rsid w:val="207D5BD6"/>
    <w:rsid w:val="207F2CCB"/>
    <w:rsid w:val="20A25D77"/>
    <w:rsid w:val="20D3355B"/>
    <w:rsid w:val="20DC3374"/>
    <w:rsid w:val="20EB3E27"/>
    <w:rsid w:val="21323369"/>
    <w:rsid w:val="2148200F"/>
    <w:rsid w:val="214955C1"/>
    <w:rsid w:val="217E5749"/>
    <w:rsid w:val="217F52B7"/>
    <w:rsid w:val="21A47246"/>
    <w:rsid w:val="21EF6B5F"/>
    <w:rsid w:val="221E7789"/>
    <w:rsid w:val="222C30A2"/>
    <w:rsid w:val="222D71A7"/>
    <w:rsid w:val="22314BCE"/>
    <w:rsid w:val="22380252"/>
    <w:rsid w:val="22585FF2"/>
    <w:rsid w:val="22610177"/>
    <w:rsid w:val="22E06C30"/>
    <w:rsid w:val="22F546CC"/>
    <w:rsid w:val="23031AAE"/>
    <w:rsid w:val="231354A1"/>
    <w:rsid w:val="231B633F"/>
    <w:rsid w:val="23243466"/>
    <w:rsid w:val="234902FE"/>
    <w:rsid w:val="2357521E"/>
    <w:rsid w:val="237B7FAA"/>
    <w:rsid w:val="238B433F"/>
    <w:rsid w:val="23952F6D"/>
    <w:rsid w:val="23995E77"/>
    <w:rsid w:val="23A42FB2"/>
    <w:rsid w:val="23AB2DCD"/>
    <w:rsid w:val="23CE0667"/>
    <w:rsid w:val="2434148B"/>
    <w:rsid w:val="24400C2C"/>
    <w:rsid w:val="244E302C"/>
    <w:rsid w:val="24693006"/>
    <w:rsid w:val="249306C8"/>
    <w:rsid w:val="249A367A"/>
    <w:rsid w:val="24CB3583"/>
    <w:rsid w:val="24CB5108"/>
    <w:rsid w:val="24D67FDA"/>
    <w:rsid w:val="24DF741A"/>
    <w:rsid w:val="24E3516A"/>
    <w:rsid w:val="24FB6404"/>
    <w:rsid w:val="24FB669B"/>
    <w:rsid w:val="24FF5FF6"/>
    <w:rsid w:val="250173C4"/>
    <w:rsid w:val="253D5BD9"/>
    <w:rsid w:val="254263E8"/>
    <w:rsid w:val="2545631B"/>
    <w:rsid w:val="2557194D"/>
    <w:rsid w:val="255B6A04"/>
    <w:rsid w:val="25763D75"/>
    <w:rsid w:val="257872AC"/>
    <w:rsid w:val="25835FF0"/>
    <w:rsid w:val="258919F3"/>
    <w:rsid w:val="25DE3780"/>
    <w:rsid w:val="25E13863"/>
    <w:rsid w:val="25F47161"/>
    <w:rsid w:val="25F91D55"/>
    <w:rsid w:val="25FE4817"/>
    <w:rsid w:val="2649739D"/>
    <w:rsid w:val="264D17DF"/>
    <w:rsid w:val="265D145C"/>
    <w:rsid w:val="266A3F9A"/>
    <w:rsid w:val="268957A2"/>
    <w:rsid w:val="26941C7A"/>
    <w:rsid w:val="26A0039D"/>
    <w:rsid w:val="26A73D70"/>
    <w:rsid w:val="26A8128F"/>
    <w:rsid w:val="26B2382B"/>
    <w:rsid w:val="26CD05AF"/>
    <w:rsid w:val="26CF6D8E"/>
    <w:rsid w:val="273257B5"/>
    <w:rsid w:val="2745056A"/>
    <w:rsid w:val="276E028D"/>
    <w:rsid w:val="27C004B3"/>
    <w:rsid w:val="27CE7DFB"/>
    <w:rsid w:val="27D003A0"/>
    <w:rsid w:val="27D86DA7"/>
    <w:rsid w:val="27E0161D"/>
    <w:rsid w:val="27E21506"/>
    <w:rsid w:val="27FD30B7"/>
    <w:rsid w:val="281E0275"/>
    <w:rsid w:val="2822463C"/>
    <w:rsid w:val="282A4A6B"/>
    <w:rsid w:val="283D5F4B"/>
    <w:rsid w:val="2845181D"/>
    <w:rsid w:val="28455E5B"/>
    <w:rsid w:val="28554CB8"/>
    <w:rsid w:val="285574F1"/>
    <w:rsid w:val="285A1373"/>
    <w:rsid w:val="28940595"/>
    <w:rsid w:val="28B0754B"/>
    <w:rsid w:val="28BC4F96"/>
    <w:rsid w:val="28D36ABB"/>
    <w:rsid w:val="28E04124"/>
    <w:rsid w:val="28E37F64"/>
    <w:rsid w:val="294C0769"/>
    <w:rsid w:val="29546EC2"/>
    <w:rsid w:val="29791B0A"/>
    <w:rsid w:val="298209D0"/>
    <w:rsid w:val="29A64BAA"/>
    <w:rsid w:val="29CF0947"/>
    <w:rsid w:val="29D20A2D"/>
    <w:rsid w:val="29E71C4B"/>
    <w:rsid w:val="29EF5487"/>
    <w:rsid w:val="29F936B7"/>
    <w:rsid w:val="29FD2EA3"/>
    <w:rsid w:val="2A0A4B8D"/>
    <w:rsid w:val="2A8024BA"/>
    <w:rsid w:val="2A863F03"/>
    <w:rsid w:val="2ADE23EC"/>
    <w:rsid w:val="2B025795"/>
    <w:rsid w:val="2B027D1C"/>
    <w:rsid w:val="2B102FB5"/>
    <w:rsid w:val="2B185564"/>
    <w:rsid w:val="2B1E10AF"/>
    <w:rsid w:val="2B2C21ED"/>
    <w:rsid w:val="2B3B6520"/>
    <w:rsid w:val="2B586F7C"/>
    <w:rsid w:val="2B6162FD"/>
    <w:rsid w:val="2B62754C"/>
    <w:rsid w:val="2B634799"/>
    <w:rsid w:val="2B80272F"/>
    <w:rsid w:val="2BAA3B9F"/>
    <w:rsid w:val="2BBC1700"/>
    <w:rsid w:val="2BC57ACA"/>
    <w:rsid w:val="2BD44DD3"/>
    <w:rsid w:val="2BFA6BB9"/>
    <w:rsid w:val="2C0C3873"/>
    <w:rsid w:val="2C215D52"/>
    <w:rsid w:val="2C426DA9"/>
    <w:rsid w:val="2C82283C"/>
    <w:rsid w:val="2CA533DE"/>
    <w:rsid w:val="2CCF4F14"/>
    <w:rsid w:val="2CE951BE"/>
    <w:rsid w:val="2CF12109"/>
    <w:rsid w:val="2D040D96"/>
    <w:rsid w:val="2D6B67B8"/>
    <w:rsid w:val="2D893B01"/>
    <w:rsid w:val="2DB716B7"/>
    <w:rsid w:val="2DBB46C1"/>
    <w:rsid w:val="2DC31626"/>
    <w:rsid w:val="2DC3300C"/>
    <w:rsid w:val="2DCE03E7"/>
    <w:rsid w:val="2DE84947"/>
    <w:rsid w:val="2DF55D7F"/>
    <w:rsid w:val="2E0C59C4"/>
    <w:rsid w:val="2E29477C"/>
    <w:rsid w:val="2E612CF8"/>
    <w:rsid w:val="2E8446DC"/>
    <w:rsid w:val="2E8668E0"/>
    <w:rsid w:val="2E8A57EA"/>
    <w:rsid w:val="2EA51A57"/>
    <w:rsid w:val="2EB17A1C"/>
    <w:rsid w:val="2EEA7265"/>
    <w:rsid w:val="2EEB5E97"/>
    <w:rsid w:val="2F031B9C"/>
    <w:rsid w:val="2F094572"/>
    <w:rsid w:val="2F0E7E8A"/>
    <w:rsid w:val="2F277820"/>
    <w:rsid w:val="2F5064FC"/>
    <w:rsid w:val="2F7C5425"/>
    <w:rsid w:val="2F870C11"/>
    <w:rsid w:val="2FA13C3C"/>
    <w:rsid w:val="2FAB4D3C"/>
    <w:rsid w:val="2FC17B6B"/>
    <w:rsid w:val="2FDA693C"/>
    <w:rsid w:val="2FEB6D45"/>
    <w:rsid w:val="300C4DEB"/>
    <w:rsid w:val="303748CA"/>
    <w:rsid w:val="30550038"/>
    <w:rsid w:val="306D2E13"/>
    <w:rsid w:val="309D6EDE"/>
    <w:rsid w:val="30C913DF"/>
    <w:rsid w:val="30CF3B4E"/>
    <w:rsid w:val="30D41EAC"/>
    <w:rsid w:val="31130F32"/>
    <w:rsid w:val="312923CD"/>
    <w:rsid w:val="31375310"/>
    <w:rsid w:val="31445A7D"/>
    <w:rsid w:val="314D09D9"/>
    <w:rsid w:val="318E5CC3"/>
    <w:rsid w:val="319A3ECF"/>
    <w:rsid w:val="31C8748F"/>
    <w:rsid w:val="31CA0A61"/>
    <w:rsid w:val="31ED455C"/>
    <w:rsid w:val="31F97A41"/>
    <w:rsid w:val="321F355F"/>
    <w:rsid w:val="322B68D2"/>
    <w:rsid w:val="32386F07"/>
    <w:rsid w:val="324651C7"/>
    <w:rsid w:val="32490469"/>
    <w:rsid w:val="326532C9"/>
    <w:rsid w:val="32765DC3"/>
    <w:rsid w:val="327B3E46"/>
    <w:rsid w:val="328671CB"/>
    <w:rsid w:val="328C0F05"/>
    <w:rsid w:val="32A81A17"/>
    <w:rsid w:val="32FE3564"/>
    <w:rsid w:val="331006B6"/>
    <w:rsid w:val="33207185"/>
    <w:rsid w:val="33365595"/>
    <w:rsid w:val="334F7812"/>
    <w:rsid w:val="335119D3"/>
    <w:rsid w:val="337B2F1F"/>
    <w:rsid w:val="338E1BD9"/>
    <w:rsid w:val="339E5767"/>
    <w:rsid w:val="33C63E5F"/>
    <w:rsid w:val="33EC20BE"/>
    <w:rsid w:val="33F30712"/>
    <w:rsid w:val="34017D9E"/>
    <w:rsid w:val="34125DFD"/>
    <w:rsid w:val="34250E19"/>
    <w:rsid w:val="34251005"/>
    <w:rsid w:val="344C02C4"/>
    <w:rsid w:val="3461785E"/>
    <w:rsid w:val="348A49ED"/>
    <w:rsid w:val="348F2A73"/>
    <w:rsid w:val="34912D2C"/>
    <w:rsid w:val="34A55CF6"/>
    <w:rsid w:val="34AB785C"/>
    <w:rsid w:val="34B00772"/>
    <w:rsid w:val="34B66137"/>
    <w:rsid w:val="34CC36BF"/>
    <w:rsid w:val="34D83EEC"/>
    <w:rsid w:val="34F63DCE"/>
    <w:rsid w:val="35000AE9"/>
    <w:rsid w:val="35097359"/>
    <w:rsid w:val="351A034A"/>
    <w:rsid w:val="352719B9"/>
    <w:rsid w:val="3530020E"/>
    <w:rsid w:val="35447B75"/>
    <w:rsid w:val="35502990"/>
    <w:rsid w:val="359A3091"/>
    <w:rsid w:val="35A45880"/>
    <w:rsid w:val="35BB58A2"/>
    <w:rsid w:val="35D14A7A"/>
    <w:rsid w:val="35DE19C8"/>
    <w:rsid w:val="35E44A52"/>
    <w:rsid w:val="35E93515"/>
    <w:rsid w:val="35EA7168"/>
    <w:rsid w:val="35F950AD"/>
    <w:rsid w:val="360A4972"/>
    <w:rsid w:val="36232EF4"/>
    <w:rsid w:val="363D37C4"/>
    <w:rsid w:val="364C67AB"/>
    <w:rsid w:val="367D735C"/>
    <w:rsid w:val="36A73E71"/>
    <w:rsid w:val="36B10687"/>
    <w:rsid w:val="36B87E85"/>
    <w:rsid w:val="36B934D6"/>
    <w:rsid w:val="36E56CB9"/>
    <w:rsid w:val="37055B53"/>
    <w:rsid w:val="371B18DD"/>
    <w:rsid w:val="37222917"/>
    <w:rsid w:val="372B7E9B"/>
    <w:rsid w:val="3733558F"/>
    <w:rsid w:val="37426FB5"/>
    <w:rsid w:val="37745C71"/>
    <w:rsid w:val="37C01DEF"/>
    <w:rsid w:val="37C542BF"/>
    <w:rsid w:val="37CF3373"/>
    <w:rsid w:val="37D112DF"/>
    <w:rsid w:val="380F1F53"/>
    <w:rsid w:val="3833737B"/>
    <w:rsid w:val="38817632"/>
    <w:rsid w:val="38A733D5"/>
    <w:rsid w:val="38D4792E"/>
    <w:rsid w:val="3908506D"/>
    <w:rsid w:val="392B0FFF"/>
    <w:rsid w:val="39371414"/>
    <w:rsid w:val="394B6F7C"/>
    <w:rsid w:val="397C27CA"/>
    <w:rsid w:val="397D6D77"/>
    <w:rsid w:val="39893E9C"/>
    <w:rsid w:val="398B4E56"/>
    <w:rsid w:val="39976E9E"/>
    <w:rsid w:val="39A21426"/>
    <w:rsid w:val="39B517A4"/>
    <w:rsid w:val="39BC4E00"/>
    <w:rsid w:val="39C121D9"/>
    <w:rsid w:val="39D06F27"/>
    <w:rsid w:val="39EB4E1B"/>
    <w:rsid w:val="3A0854CC"/>
    <w:rsid w:val="3A135DB6"/>
    <w:rsid w:val="3A1B1E6F"/>
    <w:rsid w:val="3A26549A"/>
    <w:rsid w:val="3A346544"/>
    <w:rsid w:val="3A4C3DF4"/>
    <w:rsid w:val="3A605560"/>
    <w:rsid w:val="3A613500"/>
    <w:rsid w:val="3AA52449"/>
    <w:rsid w:val="3AD65952"/>
    <w:rsid w:val="3ADD2E1F"/>
    <w:rsid w:val="3AE6141F"/>
    <w:rsid w:val="3AFC062E"/>
    <w:rsid w:val="3B080C41"/>
    <w:rsid w:val="3B626374"/>
    <w:rsid w:val="3B786D55"/>
    <w:rsid w:val="3B7B6605"/>
    <w:rsid w:val="3BA81424"/>
    <w:rsid w:val="3BB10CF9"/>
    <w:rsid w:val="3BB331C1"/>
    <w:rsid w:val="3BF94EFD"/>
    <w:rsid w:val="3C0E7295"/>
    <w:rsid w:val="3C12767C"/>
    <w:rsid w:val="3C3B37C3"/>
    <w:rsid w:val="3C3B6931"/>
    <w:rsid w:val="3C5C172A"/>
    <w:rsid w:val="3C7272A5"/>
    <w:rsid w:val="3C744311"/>
    <w:rsid w:val="3CAA29DD"/>
    <w:rsid w:val="3CBC1409"/>
    <w:rsid w:val="3CCB1CF3"/>
    <w:rsid w:val="3CE33090"/>
    <w:rsid w:val="3D2F46E9"/>
    <w:rsid w:val="3D3C3CEB"/>
    <w:rsid w:val="3D4347CF"/>
    <w:rsid w:val="3D6A0040"/>
    <w:rsid w:val="3D6E2F1D"/>
    <w:rsid w:val="3D707005"/>
    <w:rsid w:val="3D7F2B0F"/>
    <w:rsid w:val="3DE061D8"/>
    <w:rsid w:val="3E046468"/>
    <w:rsid w:val="3E0D7AD8"/>
    <w:rsid w:val="3E121041"/>
    <w:rsid w:val="3E1804A6"/>
    <w:rsid w:val="3E65515E"/>
    <w:rsid w:val="3E67696B"/>
    <w:rsid w:val="3E6B3AE2"/>
    <w:rsid w:val="3E781BB4"/>
    <w:rsid w:val="3E7E0471"/>
    <w:rsid w:val="3EA174C9"/>
    <w:rsid w:val="3EBD5865"/>
    <w:rsid w:val="3EE1743F"/>
    <w:rsid w:val="3EF37553"/>
    <w:rsid w:val="3EF95FBD"/>
    <w:rsid w:val="3EFC5E13"/>
    <w:rsid w:val="3F397809"/>
    <w:rsid w:val="3F445981"/>
    <w:rsid w:val="3F7C7B40"/>
    <w:rsid w:val="3F851063"/>
    <w:rsid w:val="3FA94119"/>
    <w:rsid w:val="3FBE798F"/>
    <w:rsid w:val="3FD4107C"/>
    <w:rsid w:val="3FD671FF"/>
    <w:rsid w:val="3FE96EFC"/>
    <w:rsid w:val="3FF355B3"/>
    <w:rsid w:val="403924E7"/>
    <w:rsid w:val="40657CA6"/>
    <w:rsid w:val="40962BCD"/>
    <w:rsid w:val="40A20BB6"/>
    <w:rsid w:val="40AB20C8"/>
    <w:rsid w:val="40AD1CB9"/>
    <w:rsid w:val="40B819AE"/>
    <w:rsid w:val="40C33F6D"/>
    <w:rsid w:val="40C947D9"/>
    <w:rsid w:val="40EC2BFB"/>
    <w:rsid w:val="41105CA9"/>
    <w:rsid w:val="412915BC"/>
    <w:rsid w:val="41353856"/>
    <w:rsid w:val="41604ACA"/>
    <w:rsid w:val="417D0428"/>
    <w:rsid w:val="41915DE1"/>
    <w:rsid w:val="41A03A1F"/>
    <w:rsid w:val="41B64FB6"/>
    <w:rsid w:val="41B97E49"/>
    <w:rsid w:val="41E05C10"/>
    <w:rsid w:val="41E30252"/>
    <w:rsid w:val="42221F9D"/>
    <w:rsid w:val="422B054A"/>
    <w:rsid w:val="42500770"/>
    <w:rsid w:val="427F28DE"/>
    <w:rsid w:val="428104E8"/>
    <w:rsid w:val="42863600"/>
    <w:rsid w:val="42B200F8"/>
    <w:rsid w:val="42B931F0"/>
    <w:rsid w:val="42C52BEF"/>
    <w:rsid w:val="42E21A50"/>
    <w:rsid w:val="430D255F"/>
    <w:rsid w:val="431C73D2"/>
    <w:rsid w:val="43254DBA"/>
    <w:rsid w:val="43312DDD"/>
    <w:rsid w:val="433E138A"/>
    <w:rsid w:val="434C08E3"/>
    <w:rsid w:val="4355151B"/>
    <w:rsid w:val="43773FD3"/>
    <w:rsid w:val="438E031D"/>
    <w:rsid w:val="43BC7C7A"/>
    <w:rsid w:val="43BF228F"/>
    <w:rsid w:val="43C30EC3"/>
    <w:rsid w:val="43C4632A"/>
    <w:rsid w:val="43D16381"/>
    <w:rsid w:val="43DE5BE3"/>
    <w:rsid w:val="43F332A2"/>
    <w:rsid w:val="44153769"/>
    <w:rsid w:val="44252DA6"/>
    <w:rsid w:val="4431788D"/>
    <w:rsid w:val="4437546C"/>
    <w:rsid w:val="443B4814"/>
    <w:rsid w:val="4455259F"/>
    <w:rsid w:val="44695346"/>
    <w:rsid w:val="44907488"/>
    <w:rsid w:val="44BF1641"/>
    <w:rsid w:val="44C14F70"/>
    <w:rsid w:val="44C72217"/>
    <w:rsid w:val="44CB5062"/>
    <w:rsid w:val="44D979D1"/>
    <w:rsid w:val="44E023C9"/>
    <w:rsid w:val="44E56B22"/>
    <w:rsid w:val="44F75BB4"/>
    <w:rsid w:val="4500464A"/>
    <w:rsid w:val="45006833"/>
    <w:rsid w:val="450A0301"/>
    <w:rsid w:val="451470A8"/>
    <w:rsid w:val="45160CB4"/>
    <w:rsid w:val="454A58FD"/>
    <w:rsid w:val="455C1AEB"/>
    <w:rsid w:val="456E366D"/>
    <w:rsid w:val="457718A4"/>
    <w:rsid w:val="457C28A1"/>
    <w:rsid w:val="45A7408D"/>
    <w:rsid w:val="45AA72F4"/>
    <w:rsid w:val="45C3466F"/>
    <w:rsid w:val="45DD0227"/>
    <w:rsid w:val="45FB33E7"/>
    <w:rsid w:val="461C19F6"/>
    <w:rsid w:val="46275F3F"/>
    <w:rsid w:val="464C778A"/>
    <w:rsid w:val="465C5D18"/>
    <w:rsid w:val="46743E39"/>
    <w:rsid w:val="46780838"/>
    <w:rsid w:val="467A7A40"/>
    <w:rsid w:val="467F3732"/>
    <w:rsid w:val="46AD4481"/>
    <w:rsid w:val="46CD15BE"/>
    <w:rsid w:val="46D45E4A"/>
    <w:rsid w:val="46DA614F"/>
    <w:rsid w:val="46E9745B"/>
    <w:rsid w:val="46F6477A"/>
    <w:rsid w:val="470478D7"/>
    <w:rsid w:val="471C0D93"/>
    <w:rsid w:val="472A27A8"/>
    <w:rsid w:val="474D4515"/>
    <w:rsid w:val="4751023C"/>
    <w:rsid w:val="47600FEF"/>
    <w:rsid w:val="47742DEC"/>
    <w:rsid w:val="47AE4865"/>
    <w:rsid w:val="47EA25CB"/>
    <w:rsid w:val="480422AC"/>
    <w:rsid w:val="481D64A3"/>
    <w:rsid w:val="48312B1B"/>
    <w:rsid w:val="48355F2A"/>
    <w:rsid w:val="484D5CCC"/>
    <w:rsid w:val="4873526E"/>
    <w:rsid w:val="48793F3A"/>
    <w:rsid w:val="488D6D58"/>
    <w:rsid w:val="48B55403"/>
    <w:rsid w:val="48D66DE6"/>
    <w:rsid w:val="48E1448E"/>
    <w:rsid w:val="49107A34"/>
    <w:rsid w:val="49382047"/>
    <w:rsid w:val="493D726D"/>
    <w:rsid w:val="494001B7"/>
    <w:rsid w:val="49401788"/>
    <w:rsid w:val="4942637C"/>
    <w:rsid w:val="49430F8F"/>
    <w:rsid w:val="494C6E4D"/>
    <w:rsid w:val="49663E38"/>
    <w:rsid w:val="497325C8"/>
    <w:rsid w:val="49742A75"/>
    <w:rsid w:val="498577DE"/>
    <w:rsid w:val="49C531E8"/>
    <w:rsid w:val="49C73B69"/>
    <w:rsid w:val="49CE584B"/>
    <w:rsid w:val="4A0C2858"/>
    <w:rsid w:val="4A2C601B"/>
    <w:rsid w:val="4A524851"/>
    <w:rsid w:val="4A70372C"/>
    <w:rsid w:val="4A710461"/>
    <w:rsid w:val="4AA917DA"/>
    <w:rsid w:val="4B062FDF"/>
    <w:rsid w:val="4B184FE6"/>
    <w:rsid w:val="4B1E6C5D"/>
    <w:rsid w:val="4B384710"/>
    <w:rsid w:val="4BB450E7"/>
    <w:rsid w:val="4BB7399B"/>
    <w:rsid w:val="4BB8083B"/>
    <w:rsid w:val="4BC02C80"/>
    <w:rsid w:val="4BCC3E7D"/>
    <w:rsid w:val="4BD377A0"/>
    <w:rsid w:val="4C010EE2"/>
    <w:rsid w:val="4C1178EF"/>
    <w:rsid w:val="4C1A5FCC"/>
    <w:rsid w:val="4C2E0806"/>
    <w:rsid w:val="4C4403D7"/>
    <w:rsid w:val="4C5B40EB"/>
    <w:rsid w:val="4C797C28"/>
    <w:rsid w:val="4C871691"/>
    <w:rsid w:val="4C8C7153"/>
    <w:rsid w:val="4CA2285D"/>
    <w:rsid w:val="4CD3596B"/>
    <w:rsid w:val="4CD9129D"/>
    <w:rsid w:val="4CE4240B"/>
    <w:rsid w:val="4CFB4094"/>
    <w:rsid w:val="4D136312"/>
    <w:rsid w:val="4D1E3171"/>
    <w:rsid w:val="4D232168"/>
    <w:rsid w:val="4D267C3B"/>
    <w:rsid w:val="4D53104C"/>
    <w:rsid w:val="4D732AE1"/>
    <w:rsid w:val="4DAD21A5"/>
    <w:rsid w:val="4DB6309B"/>
    <w:rsid w:val="4DBB3B90"/>
    <w:rsid w:val="4DD21EE9"/>
    <w:rsid w:val="4DD4780E"/>
    <w:rsid w:val="4E00008C"/>
    <w:rsid w:val="4E210448"/>
    <w:rsid w:val="4E242E86"/>
    <w:rsid w:val="4E2A6C11"/>
    <w:rsid w:val="4E3A41C4"/>
    <w:rsid w:val="4E671293"/>
    <w:rsid w:val="4E732F22"/>
    <w:rsid w:val="4E8E444E"/>
    <w:rsid w:val="4EC0699C"/>
    <w:rsid w:val="4ECC3E6D"/>
    <w:rsid w:val="4F3E3282"/>
    <w:rsid w:val="4F403EF3"/>
    <w:rsid w:val="4F4D7509"/>
    <w:rsid w:val="4F751E02"/>
    <w:rsid w:val="4F916EF8"/>
    <w:rsid w:val="4FB33DE8"/>
    <w:rsid w:val="4FC4213B"/>
    <w:rsid w:val="4FF404F4"/>
    <w:rsid w:val="5011496C"/>
    <w:rsid w:val="5012588F"/>
    <w:rsid w:val="502D0BD2"/>
    <w:rsid w:val="502F6A93"/>
    <w:rsid w:val="504842A2"/>
    <w:rsid w:val="506B556E"/>
    <w:rsid w:val="507566BB"/>
    <w:rsid w:val="50B978DD"/>
    <w:rsid w:val="50C70A5D"/>
    <w:rsid w:val="50EC2272"/>
    <w:rsid w:val="51204305"/>
    <w:rsid w:val="51456BDB"/>
    <w:rsid w:val="515F5EAC"/>
    <w:rsid w:val="516D4485"/>
    <w:rsid w:val="51712FE5"/>
    <w:rsid w:val="51781624"/>
    <w:rsid w:val="517A302D"/>
    <w:rsid w:val="51A153A5"/>
    <w:rsid w:val="51C62BC5"/>
    <w:rsid w:val="51DA3605"/>
    <w:rsid w:val="51E26AC7"/>
    <w:rsid w:val="51EC4263"/>
    <w:rsid w:val="51F02C81"/>
    <w:rsid w:val="52242926"/>
    <w:rsid w:val="5259359B"/>
    <w:rsid w:val="526A2D4F"/>
    <w:rsid w:val="52721612"/>
    <w:rsid w:val="528E537A"/>
    <w:rsid w:val="52A17E47"/>
    <w:rsid w:val="52AD3756"/>
    <w:rsid w:val="52C10F0B"/>
    <w:rsid w:val="52C6473C"/>
    <w:rsid w:val="52E137D4"/>
    <w:rsid w:val="52E41DCA"/>
    <w:rsid w:val="52E65911"/>
    <w:rsid w:val="52F05E63"/>
    <w:rsid w:val="530336F6"/>
    <w:rsid w:val="537A192E"/>
    <w:rsid w:val="537A44DE"/>
    <w:rsid w:val="538213C0"/>
    <w:rsid w:val="539A279C"/>
    <w:rsid w:val="53A15691"/>
    <w:rsid w:val="53CA4038"/>
    <w:rsid w:val="54057C7E"/>
    <w:rsid w:val="54151320"/>
    <w:rsid w:val="54311BAF"/>
    <w:rsid w:val="54345EF7"/>
    <w:rsid w:val="546B0620"/>
    <w:rsid w:val="547A7975"/>
    <w:rsid w:val="5493286F"/>
    <w:rsid w:val="54A24407"/>
    <w:rsid w:val="54A3777F"/>
    <w:rsid w:val="54B42A2F"/>
    <w:rsid w:val="54BE4B66"/>
    <w:rsid w:val="54CB3E9E"/>
    <w:rsid w:val="54E63048"/>
    <w:rsid w:val="54F377FE"/>
    <w:rsid w:val="54F50ECB"/>
    <w:rsid w:val="55096395"/>
    <w:rsid w:val="55342350"/>
    <w:rsid w:val="55431564"/>
    <w:rsid w:val="55647690"/>
    <w:rsid w:val="557C6280"/>
    <w:rsid w:val="55A26A05"/>
    <w:rsid w:val="55DD24EC"/>
    <w:rsid w:val="55F37181"/>
    <w:rsid w:val="55F517B5"/>
    <w:rsid w:val="56115529"/>
    <w:rsid w:val="5622234F"/>
    <w:rsid w:val="564D792D"/>
    <w:rsid w:val="56547D36"/>
    <w:rsid w:val="566E4EF2"/>
    <w:rsid w:val="56831A4E"/>
    <w:rsid w:val="56964267"/>
    <w:rsid w:val="56AC1CC8"/>
    <w:rsid w:val="56CE6709"/>
    <w:rsid w:val="56F61C60"/>
    <w:rsid w:val="56F62F71"/>
    <w:rsid w:val="572D066B"/>
    <w:rsid w:val="574046A7"/>
    <w:rsid w:val="574F395A"/>
    <w:rsid w:val="57544BCD"/>
    <w:rsid w:val="57901FD6"/>
    <w:rsid w:val="579857B4"/>
    <w:rsid w:val="57BF2037"/>
    <w:rsid w:val="57C37B15"/>
    <w:rsid w:val="57D1445F"/>
    <w:rsid w:val="57DC140C"/>
    <w:rsid w:val="57F00269"/>
    <w:rsid w:val="584D2672"/>
    <w:rsid w:val="5857556D"/>
    <w:rsid w:val="585F297A"/>
    <w:rsid w:val="589B20E2"/>
    <w:rsid w:val="58E45846"/>
    <w:rsid w:val="590562FE"/>
    <w:rsid w:val="59061731"/>
    <w:rsid w:val="59453141"/>
    <w:rsid w:val="59734C4B"/>
    <w:rsid w:val="59821C63"/>
    <w:rsid w:val="59D623BE"/>
    <w:rsid w:val="59DB1DE7"/>
    <w:rsid w:val="5A2B2354"/>
    <w:rsid w:val="5A36150F"/>
    <w:rsid w:val="5A5F4163"/>
    <w:rsid w:val="5A6543E6"/>
    <w:rsid w:val="5A9A0CBD"/>
    <w:rsid w:val="5AB84EF1"/>
    <w:rsid w:val="5AC35247"/>
    <w:rsid w:val="5AF214A6"/>
    <w:rsid w:val="5B0B5DE9"/>
    <w:rsid w:val="5B105877"/>
    <w:rsid w:val="5B4D0B9C"/>
    <w:rsid w:val="5B617996"/>
    <w:rsid w:val="5B706CDC"/>
    <w:rsid w:val="5B7E730A"/>
    <w:rsid w:val="5BD556A7"/>
    <w:rsid w:val="5BE06703"/>
    <w:rsid w:val="5BEC5013"/>
    <w:rsid w:val="5C791474"/>
    <w:rsid w:val="5C833AA6"/>
    <w:rsid w:val="5C8D6434"/>
    <w:rsid w:val="5C92469F"/>
    <w:rsid w:val="5C962CD6"/>
    <w:rsid w:val="5CBD5637"/>
    <w:rsid w:val="5CBD68A4"/>
    <w:rsid w:val="5CD66D2F"/>
    <w:rsid w:val="5D4217E7"/>
    <w:rsid w:val="5D551D29"/>
    <w:rsid w:val="5D623309"/>
    <w:rsid w:val="5D78041E"/>
    <w:rsid w:val="5D810753"/>
    <w:rsid w:val="5D8A4096"/>
    <w:rsid w:val="5DAC4DBD"/>
    <w:rsid w:val="5DB95A67"/>
    <w:rsid w:val="5DBF331C"/>
    <w:rsid w:val="5DF45F8D"/>
    <w:rsid w:val="5E1D2875"/>
    <w:rsid w:val="5E723498"/>
    <w:rsid w:val="5E801D7E"/>
    <w:rsid w:val="5E8950A9"/>
    <w:rsid w:val="5EB83CD9"/>
    <w:rsid w:val="5EDD0292"/>
    <w:rsid w:val="5EE64A71"/>
    <w:rsid w:val="5EEB76A5"/>
    <w:rsid w:val="5F186A87"/>
    <w:rsid w:val="5F205DB2"/>
    <w:rsid w:val="5F320653"/>
    <w:rsid w:val="5F325EA6"/>
    <w:rsid w:val="5F46225D"/>
    <w:rsid w:val="5F57744D"/>
    <w:rsid w:val="5F614738"/>
    <w:rsid w:val="5F6267DA"/>
    <w:rsid w:val="5FC72393"/>
    <w:rsid w:val="5FCF795C"/>
    <w:rsid w:val="5FDB5421"/>
    <w:rsid w:val="5FE71496"/>
    <w:rsid w:val="5FEB079A"/>
    <w:rsid w:val="5FEB6744"/>
    <w:rsid w:val="6002670B"/>
    <w:rsid w:val="602B5AE4"/>
    <w:rsid w:val="604D1825"/>
    <w:rsid w:val="60541566"/>
    <w:rsid w:val="60810138"/>
    <w:rsid w:val="60ED1AF5"/>
    <w:rsid w:val="60F94730"/>
    <w:rsid w:val="60FA5C27"/>
    <w:rsid w:val="61097006"/>
    <w:rsid w:val="61115A5F"/>
    <w:rsid w:val="61287BB4"/>
    <w:rsid w:val="613240CB"/>
    <w:rsid w:val="61485151"/>
    <w:rsid w:val="61530D79"/>
    <w:rsid w:val="61595D41"/>
    <w:rsid w:val="61752E4E"/>
    <w:rsid w:val="6177272B"/>
    <w:rsid w:val="618B1F8A"/>
    <w:rsid w:val="61BE4834"/>
    <w:rsid w:val="61D84114"/>
    <w:rsid w:val="6214062E"/>
    <w:rsid w:val="62222153"/>
    <w:rsid w:val="62562B77"/>
    <w:rsid w:val="62652782"/>
    <w:rsid w:val="626F363E"/>
    <w:rsid w:val="62732044"/>
    <w:rsid w:val="627D703F"/>
    <w:rsid w:val="62813F3C"/>
    <w:rsid w:val="62C07E9D"/>
    <w:rsid w:val="62C816E9"/>
    <w:rsid w:val="62CA5C59"/>
    <w:rsid w:val="62F20DBB"/>
    <w:rsid w:val="62F42DE0"/>
    <w:rsid w:val="62F672D1"/>
    <w:rsid w:val="630518AE"/>
    <w:rsid w:val="631F3129"/>
    <w:rsid w:val="633A1A8C"/>
    <w:rsid w:val="63426E72"/>
    <w:rsid w:val="637137FD"/>
    <w:rsid w:val="638A2FBB"/>
    <w:rsid w:val="638E13C7"/>
    <w:rsid w:val="63C5320A"/>
    <w:rsid w:val="63EE5508"/>
    <w:rsid w:val="64190A83"/>
    <w:rsid w:val="642063D2"/>
    <w:rsid w:val="643D5001"/>
    <w:rsid w:val="643E30F7"/>
    <w:rsid w:val="645F4178"/>
    <w:rsid w:val="646E4126"/>
    <w:rsid w:val="64792F25"/>
    <w:rsid w:val="64847E9E"/>
    <w:rsid w:val="648A28F3"/>
    <w:rsid w:val="64951F12"/>
    <w:rsid w:val="64CC2701"/>
    <w:rsid w:val="64D20019"/>
    <w:rsid w:val="64D973A4"/>
    <w:rsid w:val="65257EF6"/>
    <w:rsid w:val="6528648D"/>
    <w:rsid w:val="654A6F9D"/>
    <w:rsid w:val="654B692E"/>
    <w:rsid w:val="654E6DCD"/>
    <w:rsid w:val="657705E2"/>
    <w:rsid w:val="65AD4EB2"/>
    <w:rsid w:val="65B5352B"/>
    <w:rsid w:val="65BC526F"/>
    <w:rsid w:val="65EF6DE4"/>
    <w:rsid w:val="65F92796"/>
    <w:rsid w:val="660107AC"/>
    <w:rsid w:val="663764EC"/>
    <w:rsid w:val="663F1CB6"/>
    <w:rsid w:val="665C210E"/>
    <w:rsid w:val="66793D79"/>
    <w:rsid w:val="669959D0"/>
    <w:rsid w:val="669F02E0"/>
    <w:rsid w:val="66C1452B"/>
    <w:rsid w:val="66C27579"/>
    <w:rsid w:val="66DC22C6"/>
    <w:rsid w:val="66E92177"/>
    <w:rsid w:val="67091E8B"/>
    <w:rsid w:val="671E1AD1"/>
    <w:rsid w:val="672956E1"/>
    <w:rsid w:val="672E093A"/>
    <w:rsid w:val="67415313"/>
    <w:rsid w:val="67422948"/>
    <w:rsid w:val="67517588"/>
    <w:rsid w:val="677B1C41"/>
    <w:rsid w:val="67813C11"/>
    <w:rsid w:val="6784465D"/>
    <w:rsid w:val="678F6390"/>
    <w:rsid w:val="67A47DEB"/>
    <w:rsid w:val="67AA1B93"/>
    <w:rsid w:val="67E055F7"/>
    <w:rsid w:val="67FD43AE"/>
    <w:rsid w:val="680A5199"/>
    <w:rsid w:val="682528A3"/>
    <w:rsid w:val="682C55CA"/>
    <w:rsid w:val="682C7C20"/>
    <w:rsid w:val="682F0BD1"/>
    <w:rsid w:val="685F0F2D"/>
    <w:rsid w:val="689F6505"/>
    <w:rsid w:val="68A04620"/>
    <w:rsid w:val="68AC2B69"/>
    <w:rsid w:val="68B761A5"/>
    <w:rsid w:val="68BC2EF1"/>
    <w:rsid w:val="68D6653B"/>
    <w:rsid w:val="68DA12EE"/>
    <w:rsid w:val="68F71D53"/>
    <w:rsid w:val="690D1089"/>
    <w:rsid w:val="69436997"/>
    <w:rsid w:val="694D7E07"/>
    <w:rsid w:val="69550C3E"/>
    <w:rsid w:val="696F5145"/>
    <w:rsid w:val="69733489"/>
    <w:rsid w:val="699D3D06"/>
    <w:rsid w:val="699E16E0"/>
    <w:rsid w:val="69A90AE5"/>
    <w:rsid w:val="69A9464F"/>
    <w:rsid w:val="69AA3D49"/>
    <w:rsid w:val="69C20EEC"/>
    <w:rsid w:val="69ED77FB"/>
    <w:rsid w:val="6A04154C"/>
    <w:rsid w:val="6A074829"/>
    <w:rsid w:val="6A3C4858"/>
    <w:rsid w:val="6A672A2E"/>
    <w:rsid w:val="6A80697E"/>
    <w:rsid w:val="6A8A5883"/>
    <w:rsid w:val="6AAF2E3D"/>
    <w:rsid w:val="6AED48CE"/>
    <w:rsid w:val="6B135B9E"/>
    <w:rsid w:val="6B1759B7"/>
    <w:rsid w:val="6B254012"/>
    <w:rsid w:val="6B5314E4"/>
    <w:rsid w:val="6B753CA9"/>
    <w:rsid w:val="6B825AA8"/>
    <w:rsid w:val="6B8D27E3"/>
    <w:rsid w:val="6BB76C02"/>
    <w:rsid w:val="6BB87637"/>
    <w:rsid w:val="6BD80C41"/>
    <w:rsid w:val="6BE92BE0"/>
    <w:rsid w:val="6BFF38D0"/>
    <w:rsid w:val="6C00596A"/>
    <w:rsid w:val="6C4133EC"/>
    <w:rsid w:val="6C504D5B"/>
    <w:rsid w:val="6C544C7F"/>
    <w:rsid w:val="6C73600A"/>
    <w:rsid w:val="6C764C01"/>
    <w:rsid w:val="6C8C6233"/>
    <w:rsid w:val="6CBD1C66"/>
    <w:rsid w:val="6CC54F84"/>
    <w:rsid w:val="6CC730F3"/>
    <w:rsid w:val="6CE36CFA"/>
    <w:rsid w:val="6D202C22"/>
    <w:rsid w:val="6D4D0AAB"/>
    <w:rsid w:val="6D54310F"/>
    <w:rsid w:val="6D6E25AB"/>
    <w:rsid w:val="6D887A08"/>
    <w:rsid w:val="6DA625D1"/>
    <w:rsid w:val="6DC26163"/>
    <w:rsid w:val="6DCB5EA7"/>
    <w:rsid w:val="6DD36B60"/>
    <w:rsid w:val="6DE921C9"/>
    <w:rsid w:val="6E0B4F56"/>
    <w:rsid w:val="6E1C3BA7"/>
    <w:rsid w:val="6E340AA7"/>
    <w:rsid w:val="6E6329E1"/>
    <w:rsid w:val="6E7C40AE"/>
    <w:rsid w:val="6E850120"/>
    <w:rsid w:val="6E85753C"/>
    <w:rsid w:val="6E9A0889"/>
    <w:rsid w:val="6EA2749B"/>
    <w:rsid w:val="6EA311A7"/>
    <w:rsid w:val="6EB013B6"/>
    <w:rsid w:val="6EB07ECA"/>
    <w:rsid w:val="6EE179D5"/>
    <w:rsid w:val="6F0264A5"/>
    <w:rsid w:val="6F0268FF"/>
    <w:rsid w:val="6F0722D8"/>
    <w:rsid w:val="6F3C71DF"/>
    <w:rsid w:val="6F434CD5"/>
    <w:rsid w:val="6F482A54"/>
    <w:rsid w:val="6F5F3E60"/>
    <w:rsid w:val="6F6B16C5"/>
    <w:rsid w:val="6F6D068C"/>
    <w:rsid w:val="6F777918"/>
    <w:rsid w:val="6F786EBE"/>
    <w:rsid w:val="6F9116A2"/>
    <w:rsid w:val="6F9A35ED"/>
    <w:rsid w:val="6FC50964"/>
    <w:rsid w:val="6FD8719B"/>
    <w:rsid w:val="6FDE5CE6"/>
    <w:rsid w:val="6FF5566E"/>
    <w:rsid w:val="6FF8631E"/>
    <w:rsid w:val="7011625D"/>
    <w:rsid w:val="7051717B"/>
    <w:rsid w:val="70674FC1"/>
    <w:rsid w:val="707E68E5"/>
    <w:rsid w:val="709055A6"/>
    <w:rsid w:val="709B72F6"/>
    <w:rsid w:val="709E670D"/>
    <w:rsid w:val="70B54162"/>
    <w:rsid w:val="70F0710F"/>
    <w:rsid w:val="70F838F2"/>
    <w:rsid w:val="71001EB8"/>
    <w:rsid w:val="712A3E59"/>
    <w:rsid w:val="7137652A"/>
    <w:rsid w:val="716D0F74"/>
    <w:rsid w:val="71752D6F"/>
    <w:rsid w:val="718A6640"/>
    <w:rsid w:val="71B46619"/>
    <w:rsid w:val="71C551EB"/>
    <w:rsid w:val="71D83387"/>
    <w:rsid w:val="71DF7851"/>
    <w:rsid w:val="71E73967"/>
    <w:rsid w:val="721361A7"/>
    <w:rsid w:val="72352468"/>
    <w:rsid w:val="728027CD"/>
    <w:rsid w:val="72907C9A"/>
    <w:rsid w:val="72F9043F"/>
    <w:rsid w:val="73310C98"/>
    <w:rsid w:val="73324787"/>
    <w:rsid w:val="73736133"/>
    <w:rsid w:val="73752EDF"/>
    <w:rsid w:val="73985F71"/>
    <w:rsid w:val="73B41AD2"/>
    <w:rsid w:val="73E37095"/>
    <w:rsid w:val="73E42F36"/>
    <w:rsid w:val="741C0F03"/>
    <w:rsid w:val="74344201"/>
    <w:rsid w:val="744C0018"/>
    <w:rsid w:val="747A7B53"/>
    <w:rsid w:val="74934EE6"/>
    <w:rsid w:val="749A0F4E"/>
    <w:rsid w:val="74F45E6F"/>
    <w:rsid w:val="74FA5B77"/>
    <w:rsid w:val="754D73CB"/>
    <w:rsid w:val="756A4C32"/>
    <w:rsid w:val="759926FC"/>
    <w:rsid w:val="759C1066"/>
    <w:rsid w:val="75CC219B"/>
    <w:rsid w:val="75D6516F"/>
    <w:rsid w:val="75DF463D"/>
    <w:rsid w:val="75EC1673"/>
    <w:rsid w:val="75ED7E77"/>
    <w:rsid w:val="76053070"/>
    <w:rsid w:val="76262EDD"/>
    <w:rsid w:val="76296D2F"/>
    <w:rsid w:val="762978EE"/>
    <w:rsid w:val="76336AE4"/>
    <w:rsid w:val="765E6910"/>
    <w:rsid w:val="768E717D"/>
    <w:rsid w:val="76951988"/>
    <w:rsid w:val="769928B9"/>
    <w:rsid w:val="76AA1397"/>
    <w:rsid w:val="76DE0FB3"/>
    <w:rsid w:val="76E94592"/>
    <w:rsid w:val="76FE1D5E"/>
    <w:rsid w:val="77051526"/>
    <w:rsid w:val="77110D4A"/>
    <w:rsid w:val="771A446D"/>
    <w:rsid w:val="771D17D1"/>
    <w:rsid w:val="772767E2"/>
    <w:rsid w:val="77367992"/>
    <w:rsid w:val="773F3856"/>
    <w:rsid w:val="774C2742"/>
    <w:rsid w:val="775306C9"/>
    <w:rsid w:val="77553DA7"/>
    <w:rsid w:val="77923C04"/>
    <w:rsid w:val="77BB0FF1"/>
    <w:rsid w:val="77C323DA"/>
    <w:rsid w:val="77CD3239"/>
    <w:rsid w:val="77E75E62"/>
    <w:rsid w:val="77F1604E"/>
    <w:rsid w:val="77F31B29"/>
    <w:rsid w:val="77F86132"/>
    <w:rsid w:val="780F5C62"/>
    <w:rsid w:val="781E2813"/>
    <w:rsid w:val="781E3D24"/>
    <w:rsid w:val="781E73F0"/>
    <w:rsid w:val="782740E6"/>
    <w:rsid w:val="784B46CD"/>
    <w:rsid w:val="785349DD"/>
    <w:rsid w:val="78690919"/>
    <w:rsid w:val="78A35B8A"/>
    <w:rsid w:val="78CC08AF"/>
    <w:rsid w:val="78CF0310"/>
    <w:rsid w:val="78D05B47"/>
    <w:rsid w:val="78E45DBE"/>
    <w:rsid w:val="790B407E"/>
    <w:rsid w:val="79451E25"/>
    <w:rsid w:val="79607DDF"/>
    <w:rsid w:val="7973117B"/>
    <w:rsid w:val="79986222"/>
    <w:rsid w:val="79AF4FC3"/>
    <w:rsid w:val="79E46959"/>
    <w:rsid w:val="79F8121A"/>
    <w:rsid w:val="7A477033"/>
    <w:rsid w:val="7A602B03"/>
    <w:rsid w:val="7A61652D"/>
    <w:rsid w:val="7A992BBF"/>
    <w:rsid w:val="7AC21DB6"/>
    <w:rsid w:val="7AF56BFE"/>
    <w:rsid w:val="7AFD6331"/>
    <w:rsid w:val="7B0E061C"/>
    <w:rsid w:val="7B2C50E3"/>
    <w:rsid w:val="7B331F8F"/>
    <w:rsid w:val="7B335438"/>
    <w:rsid w:val="7B335906"/>
    <w:rsid w:val="7B640B98"/>
    <w:rsid w:val="7B77383B"/>
    <w:rsid w:val="7B80197A"/>
    <w:rsid w:val="7B904E88"/>
    <w:rsid w:val="7B9F6677"/>
    <w:rsid w:val="7BA87574"/>
    <w:rsid w:val="7BAC30DF"/>
    <w:rsid w:val="7BD16B3A"/>
    <w:rsid w:val="7BD50ABE"/>
    <w:rsid w:val="7BE5038B"/>
    <w:rsid w:val="7BFE1D1F"/>
    <w:rsid w:val="7C051B4C"/>
    <w:rsid w:val="7C1F1DA7"/>
    <w:rsid w:val="7C3658CE"/>
    <w:rsid w:val="7C5B435C"/>
    <w:rsid w:val="7C831F97"/>
    <w:rsid w:val="7C8D272E"/>
    <w:rsid w:val="7CA7595F"/>
    <w:rsid w:val="7D0631DA"/>
    <w:rsid w:val="7D66553F"/>
    <w:rsid w:val="7D792A69"/>
    <w:rsid w:val="7DBF7DC6"/>
    <w:rsid w:val="7DC159B8"/>
    <w:rsid w:val="7DE91FA1"/>
    <w:rsid w:val="7DEC54BF"/>
    <w:rsid w:val="7E1256F9"/>
    <w:rsid w:val="7E314356"/>
    <w:rsid w:val="7E6C3189"/>
    <w:rsid w:val="7EA105E4"/>
    <w:rsid w:val="7EB875F6"/>
    <w:rsid w:val="7EC34BB6"/>
    <w:rsid w:val="7EE25E81"/>
    <w:rsid w:val="7EEC7C98"/>
    <w:rsid w:val="7EF46442"/>
    <w:rsid w:val="7F094969"/>
    <w:rsid w:val="7F7F7BE1"/>
    <w:rsid w:val="7F810B69"/>
    <w:rsid w:val="7F9105A2"/>
    <w:rsid w:val="7F913B6B"/>
    <w:rsid w:val="7FA84F67"/>
    <w:rsid w:val="7FAD6F11"/>
    <w:rsid w:val="7FE9521A"/>
    <w:rsid w:val="7FF96062"/>
    <w:rsid w:val="7FFB08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2C0B"/>
    <w:pPr>
      <w:widowControl w:val="0"/>
      <w:jc w:val="both"/>
    </w:pPr>
    <w:rPr>
      <w:rFonts w:ascii="Calibri" w:hAnsi="Calibri"/>
      <w:szCs w:val="24"/>
    </w:rPr>
  </w:style>
  <w:style w:type="paragraph" w:styleId="Heading1">
    <w:name w:val="heading 1"/>
    <w:basedOn w:val="Normal"/>
    <w:next w:val="Normal"/>
    <w:link w:val="Heading1Char"/>
    <w:uiPriority w:val="99"/>
    <w:qFormat/>
    <w:rsid w:val="00142C0B"/>
    <w:pPr>
      <w:spacing w:beforeAutospacing="1" w:afterAutospacing="1"/>
      <w:jc w:val="left"/>
      <w:outlineLvl w:val="0"/>
    </w:pPr>
    <w:rPr>
      <w:rFonts w:ascii="宋体" w:hAnsi="宋体"/>
      <w:b/>
      <w:kern w:val="44"/>
      <w:sz w:val="48"/>
      <w:szCs w:val="48"/>
    </w:rPr>
  </w:style>
  <w:style w:type="paragraph" w:styleId="Heading3">
    <w:name w:val="heading 3"/>
    <w:basedOn w:val="Normal"/>
    <w:next w:val="Normal"/>
    <w:link w:val="Heading3Char"/>
    <w:uiPriority w:val="99"/>
    <w:qFormat/>
    <w:rsid w:val="00142C0B"/>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C0B"/>
    <w:rPr>
      <w:rFonts w:ascii="Calibri" w:hAnsi="Calibri" w:cs="Times New Roman"/>
      <w:b/>
      <w:bCs/>
      <w:kern w:val="44"/>
      <w:sz w:val="44"/>
      <w:szCs w:val="44"/>
    </w:rPr>
  </w:style>
  <w:style w:type="character" w:customStyle="1" w:styleId="Heading3Char">
    <w:name w:val="Heading 3 Char"/>
    <w:basedOn w:val="DefaultParagraphFont"/>
    <w:link w:val="Heading3"/>
    <w:uiPriority w:val="99"/>
    <w:semiHidden/>
    <w:locked/>
    <w:rsid w:val="00142C0B"/>
    <w:rPr>
      <w:rFonts w:ascii="Calibri" w:hAnsi="Calibri" w:cs="Times New Roman"/>
      <w:b/>
      <w:bCs/>
      <w:sz w:val="32"/>
      <w:szCs w:val="32"/>
    </w:rPr>
  </w:style>
  <w:style w:type="paragraph" w:styleId="BodyTextIndent2">
    <w:name w:val="Body Text Indent 2"/>
    <w:basedOn w:val="Normal"/>
    <w:link w:val="BodyTextIndent2Char"/>
    <w:uiPriority w:val="99"/>
    <w:rsid w:val="00142C0B"/>
    <w:pPr>
      <w:ind w:firstLineChars="200" w:firstLine="560"/>
    </w:pPr>
    <w:rPr>
      <w:rFonts w:ascii="仿宋_GB2312" w:eastAsia="仿宋_GB2312"/>
      <w:sz w:val="28"/>
      <w:szCs w:val="30"/>
    </w:rPr>
  </w:style>
  <w:style w:type="character" w:customStyle="1" w:styleId="BodyTextIndent2Char">
    <w:name w:val="Body Text Indent 2 Char"/>
    <w:basedOn w:val="DefaultParagraphFont"/>
    <w:link w:val="BodyTextIndent2"/>
    <w:uiPriority w:val="99"/>
    <w:semiHidden/>
    <w:locked/>
    <w:rsid w:val="00142C0B"/>
    <w:rPr>
      <w:rFonts w:ascii="Calibri" w:hAnsi="Calibri" w:cs="Times New Roman"/>
      <w:sz w:val="24"/>
      <w:szCs w:val="24"/>
    </w:rPr>
  </w:style>
  <w:style w:type="paragraph" w:styleId="Footer">
    <w:name w:val="footer"/>
    <w:basedOn w:val="Normal"/>
    <w:link w:val="FooterChar"/>
    <w:uiPriority w:val="99"/>
    <w:rsid w:val="00142C0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142C0B"/>
    <w:rPr>
      <w:rFonts w:ascii="Calibri" w:hAnsi="Calibri" w:cs="Times New Roman"/>
      <w:sz w:val="18"/>
      <w:szCs w:val="18"/>
    </w:rPr>
  </w:style>
  <w:style w:type="paragraph" w:styleId="Header">
    <w:name w:val="header"/>
    <w:basedOn w:val="Normal"/>
    <w:link w:val="HeaderChar"/>
    <w:uiPriority w:val="99"/>
    <w:rsid w:val="00142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142C0B"/>
    <w:rPr>
      <w:rFonts w:ascii="Calibri" w:hAnsi="Calibri" w:cs="Times New Roman"/>
      <w:sz w:val="18"/>
      <w:szCs w:val="18"/>
    </w:rPr>
  </w:style>
  <w:style w:type="paragraph" w:styleId="HTMLPreformatted">
    <w:name w:val="HTML Preformatted"/>
    <w:basedOn w:val="Normal"/>
    <w:link w:val="HTMLPreformattedChar"/>
    <w:uiPriority w:val="99"/>
    <w:rsid w:val="00142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142C0B"/>
    <w:rPr>
      <w:rFonts w:ascii="Courier New" w:hAnsi="Courier New" w:cs="Courier New"/>
      <w:sz w:val="20"/>
      <w:szCs w:val="20"/>
    </w:rPr>
  </w:style>
  <w:style w:type="paragraph" w:styleId="NormalWeb">
    <w:name w:val="Normal (Web)"/>
    <w:basedOn w:val="Normal"/>
    <w:uiPriority w:val="99"/>
    <w:rsid w:val="00142C0B"/>
    <w:pPr>
      <w:spacing w:beforeAutospacing="1" w:afterAutospacing="1"/>
      <w:jc w:val="left"/>
    </w:pPr>
    <w:rPr>
      <w:kern w:val="0"/>
      <w:sz w:val="24"/>
    </w:rPr>
  </w:style>
  <w:style w:type="character" w:styleId="Strong">
    <w:name w:val="Strong"/>
    <w:basedOn w:val="DefaultParagraphFont"/>
    <w:uiPriority w:val="99"/>
    <w:qFormat/>
    <w:rsid w:val="00142C0B"/>
    <w:rPr>
      <w:rFonts w:cs="Times New Roman"/>
    </w:rPr>
  </w:style>
  <w:style w:type="character" w:styleId="FollowedHyperlink">
    <w:name w:val="FollowedHyperlink"/>
    <w:basedOn w:val="DefaultParagraphFont"/>
    <w:uiPriority w:val="99"/>
    <w:rsid w:val="00142C0B"/>
    <w:rPr>
      <w:rFonts w:ascii="宋体" w:eastAsia="宋体" w:hAnsi="宋体" w:cs="宋体"/>
      <w:color w:val="3D3D3D"/>
      <w:u w:val="none"/>
    </w:rPr>
  </w:style>
  <w:style w:type="character" w:styleId="Emphasis">
    <w:name w:val="Emphasis"/>
    <w:basedOn w:val="DefaultParagraphFont"/>
    <w:uiPriority w:val="99"/>
    <w:qFormat/>
    <w:rsid w:val="00142C0B"/>
    <w:rPr>
      <w:rFonts w:cs="Times New Roman"/>
    </w:rPr>
  </w:style>
  <w:style w:type="character" w:styleId="HTMLDefinition">
    <w:name w:val="HTML Definition"/>
    <w:basedOn w:val="DefaultParagraphFont"/>
    <w:uiPriority w:val="99"/>
    <w:rsid w:val="00142C0B"/>
    <w:rPr>
      <w:rFonts w:cs="Times New Roman"/>
    </w:rPr>
  </w:style>
  <w:style w:type="character" w:styleId="HTMLAcronym">
    <w:name w:val="HTML Acronym"/>
    <w:basedOn w:val="DefaultParagraphFont"/>
    <w:uiPriority w:val="99"/>
    <w:rsid w:val="00142C0B"/>
    <w:rPr>
      <w:rFonts w:cs="Times New Roman"/>
    </w:rPr>
  </w:style>
  <w:style w:type="character" w:styleId="HTMLVariable">
    <w:name w:val="HTML Variable"/>
    <w:basedOn w:val="DefaultParagraphFont"/>
    <w:uiPriority w:val="99"/>
    <w:rsid w:val="00142C0B"/>
    <w:rPr>
      <w:rFonts w:cs="Times New Roman"/>
    </w:rPr>
  </w:style>
  <w:style w:type="character" w:styleId="Hyperlink">
    <w:name w:val="Hyperlink"/>
    <w:basedOn w:val="DefaultParagraphFont"/>
    <w:uiPriority w:val="99"/>
    <w:rsid w:val="00142C0B"/>
    <w:rPr>
      <w:rFonts w:cs="Times New Roman"/>
      <w:color w:val="0000FF"/>
      <w:u w:val="single"/>
    </w:rPr>
  </w:style>
  <w:style w:type="character" w:styleId="HTMLCode">
    <w:name w:val="HTML Code"/>
    <w:basedOn w:val="DefaultParagraphFont"/>
    <w:uiPriority w:val="99"/>
    <w:rsid w:val="00142C0B"/>
    <w:rPr>
      <w:rFonts w:ascii="Courier New" w:hAnsi="Courier New" w:cs="Times New Roman"/>
      <w:sz w:val="20"/>
    </w:rPr>
  </w:style>
  <w:style w:type="character" w:styleId="HTMLCite">
    <w:name w:val="HTML Cite"/>
    <w:basedOn w:val="DefaultParagraphFont"/>
    <w:uiPriority w:val="99"/>
    <w:rsid w:val="00142C0B"/>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42C0B"/>
    <w:rPr>
      <w:rFonts w:ascii="仿宋_GB2312" w:eastAsia="仿宋_GB2312"/>
      <w:b/>
      <w:sz w:val="32"/>
      <w:szCs w:val="32"/>
    </w:rPr>
  </w:style>
  <w:style w:type="paragraph" w:customStyle="1" w:styleId="p0">
    <w:name w:val="p0"/>
    <w:basedOn w:val="Normal"/>
    <w:uiPriority w:val="99"/>
    <w:rsid w:val="00142C0B"/>
    <w:pPr>
      <w:widowControl/>
      <w:spacing w:beforeAutospacing="1" w:afterAutospacing="1" w:line="345" w:lineRule="atLeast"/>
      <w:jc w:val="left"/>
    </w:pPr>
    <w:rPr>
      <w:rFonts w:ascii="Verdana" w:hAnsi="Verdana"/>
      <w:kern w:val="0"/>
      <w:sz w:val="18"/>
      <w:szCs w:val="18"/>
    </w:rPr>
  </w:style>
  <w:style w:type="character" w:customStyle="1" w:styleId="ccicon">
    <w:name w:val="cc_icon"/>
    <w:basedOn w:val="DefaultParagraphFont"/>
    <w:uiPriority w:val="99"/>
    <w:rsid w:val="00142C0B"/>
    <w:rPr>
      <w:rFonts w:cs="Times New Roman"/>
    </w:rPr>
  </w:style>
  <w:style w:type="character" w:customStyle="1" w:styleId="ccicon1">
    <w:name w:val="cc_icon1"/>
    <w:basedOn w:val="DefaultParagraphFont"/>
    <w:uiPriority w:val="99"/>
    <w:rsid w:val="00142C0B"/>
    <w:rPr>
      <w:rFonts w:cs="Times New Roman"/>
    </w:rPr>
  </w:style>
  <w:style w:type="character" w:customStyle="1" w:styleId="icon-qsubmit">
    <w:name w:val="icon-qsubmit"/>
    <w:basedOn w:val="DefaultParagraphFont"/>
    <w:uiPriority w:val="99"/>
    <w:rsid w:val="00142C0B"/>
    <w:rPr>
      <w:rFonts w:cs="Times New Roman"/>
    </w:rPr>
  </w:style>
  <w:style w:type="character" w:customStyle="1" w:styleId="c">
    <w:name w:val="c"/>
    <w:basedOn w:val="DefaultParagraphFont"/>
    <w:uiPriority w:val="99"/>
    <w:rsid w:val="00142C0B"/>
    <w:rPr>
      <w:rFonts w:cs="Times New Roman"/>
      <w:sz w:val="2"/>
      <w:szCs w:val="2"/>
    </w:rPr>
  </w:style>
  <w:style w:type="character" w:customStyle="1" w:styleId="pver">
    <w:name w:val="pver"/>
    <w:basedOn w:val="DefaultParagraphFont"/>
    <w:uiPriority w:val="99"/>
    <w:rsid w:val="00142C0B"/>
    <w:rPr>
      <w:rFonts w:cs="Times New Roman"/>
    </w:rPr>
  </w:style>
  <w:style w:type="character" w:customStyle="1" w:styleId="tag">
    <w:name w:val="tag"/>
    <w:basedOn w:val="DefaultParagraphFont"/>
    <w:uiPriority w:val="99"/>
    <w:rsid w:val="00142C0B"/>
    <w:rPr>
      <w:rFonts w:cs="Times New Roman"/>
    </w:rPr>
  </w:style>
  <w:style w:type="character" w:customStyle="1" w:styleId="quanzi-from">
    <w:name w:val="quanzi-from"/>
    <w:basedOn w:val="DefaultParagraphFont"/>
    <w:uiPriority w:val="99"/>
    <w:rsid w:val="00142C0B"/>
    <w:rPr>
      <w:rFonts w:cs="Times New Roman"/>
    </w:rPr>
  </w:style>
  <w:style w:type="character" w:customStyle="1" w:styleId="feed-set">
    <w:name w:val="feed-set"/>
    <w:basedOn w:val="DefaultParagraphFont"/>
    <w:uiPriority w:val="99"/>
    <w:rsid w:val="00142C0B"/>
    <w:rPr>
      <w:rFonts w:cs="Times New Roman"/>
    </w:rPr>
  </w:style>
  <w:style w:type="character" w:customStyle="1" w:styleId="myfeeds">
    <w:name w:val="my_feed_s"/>
    <w:basedOn w:val="DefaultParagraphFont"/>
    <w:uiPriority w:val="99"/>
    <w:rsid w:val="00142C0B"/>
    <w:rPr>
      <w:rFonts w:cs="Times New Roman"/>
    </w:rPr>
  </w:style>
  <w:style w:type="character" w:customStyle="1" w:styleId="icon-login">
    <w:name w:val="icon-login"/>
    <w:basedOn w:val="DefaultParagraphFont"/>
    <w:uiPriority w:val="99"/>
    <w:rsid w:val="00142C0B"/>
    <w:rPr>
      <w:rFonts w:cs="Times New Roman"/>
    </w:rPr>
  </w:style>
  <w:style w:type="character" w:customStyle="1" w:styleId="icon-login1">
    <w:name w:val="icon-login1"/>
    <w:basedOn w:val="DefaultParagraphFont"/>
    <w:uiPriority w:val="99"/>
    <w:rsid w:val="00142C0B"/>
    <w:rPr>
      <w:rFonts w:cs="Times New Roman"/>
    </w:rPr>
  </w:style>
  <w:style w:type="character" w:customStyle="1" w:styleId="i-say-scope-more">
    <w:name w:val="i-say-scope-more"/>
    <w:basedOn w:val="DefaultParagraphFont"/>
    <w:uiPriority w:val="99"/>
    <w:rsid w:val="00142C0B"/>
    <w:rPr>
      <w:rFonts w:cs="Times New Roman"/>
    </w:rPr>
  </w:style>
  <w:style w:type="character" w:customStyle="1" w:styleId="time-myreply">
    <w:name w:val="time-myreply"/>
    <w:basedOn w:val="DefaultParagraphFont"/>
    <w:uiPriority w:val="99"/>
    <w:rsid w:val="00142C0B"/>
    <w:rPr>
      <w:rFonts w:cs="Times New Roman"/>
    </w:rPr>
  </w:style>
  <w:style w:type="character" w:customStyle="1" w:styleId="pannel-close">
    <w:name w:val="pannel-close"/>
    <w:basedOn w:val="DefaultParagraphFont"/>
    <w:uiPriority w:val="99"/>
    <w:rsid w:val="00142C0B"/>
    <w:rPr>
      <w:rFonts w:cs="Times New Roman"/>
    </w:rPr>
  </w:style>
  <w:style w:type="character" w:customStyle="1" w:styleId="pannel-close1">
    <w:name w:val="pannel-close1"/>
    <w:basedOn w:val="DefaultParagraphFont"/>
    <w:uiPriority w:val="99"/>
    <w:rsid w:val="00142C0B"/>
    <w:rPr>
      <w:rFonts w:cs="Times New Roman"/>
    </w:rPr>
  </w:style>
  <w:style w:type="character" w:customStyle="1" w:styleId="pannel-close2">
    <w:name w:val="pannel-close2"/>
    <w:basedOn w:val="DefaultParagraphFont"/>
    <w:uiPriority w:val="99"/>
    <w:rsid w:val="00142C0B"/>
    <w:rPr>
      <w:rFonts w:cs="Times New Roman"/>
    </w:rPr>
  </w:style>
  <w:style w:type="character" w:customStyle="1" w:styleId="pannel-close3">
    <w:name w:val="pannel-close3"/>
    <w:basedOn w:val="DefaultParagraphFont"/>
    <w:uiPriority w:val="99"/>
    <w:rsid w:val="00142C0B"/>
    <w:rPr>
      <w:rFonts w:cs="Times New Roman"/>
    </w:rPr>
  </w:style>
  <w:style w:type="character" w:customStyle="1" w:styleId="arrow">
    <w:name w:val="arrow"/>
    <w:basedOn w:val="DefaultParagraphFont"/>
    <w:uiPriority w:val="99"/>
    <w:rsid w:val="00142C0B"/>
    <w:rPr>
      <w:rFonts w:cs="Times New Roman"/>
    </w:rPr>
  </w:style>
  <w:style w:type="character" w:customStyle="1" w:styleId="lititle">
    <w:name w:val="lititle"/>
    <w:basedOn w:val="DefaultParagraphFont"/>
    <w:uiPriority w:val="99"/>
    <w:rsid w:val="00142C0B"/>
    <w:rPr>
      <w:rFonts w:cs="Times New Roman"/>
    </w:rPr>
  </w:style>
  <w:style w:type="character" w:customStyle="1" w:styleId="lititle1">
    <w:name w:val="lititle1"/>
    <w:basedOn w:val="DefaultParagraphFont"/>
    <w:uiPriority w:val="99"/>
    <w:rsid w:val="00142C0B"/>
    <w:rPr>
      <w:rFonts w:cs="Times New Roman"/>
      <w:color w:val="666666"/>
    </w:rPr>
  </w:style>
  <w:style w:type="character" w:customStyle="1" w:styleId="lidate">
    <w:name w:val="lidate"/>
    <w:basedOn w:val="DefaultParagraphFont"/>
    <w:uiPriority w:val="99"/>
    <w:rsid w:val="00142C0B"/>
    <w:rPr>
      <w:rFonts w:cs="Times New Roman"/>
    </w:rPr>
  </w:style>
  <w:style w:type="character" w:customStyle="1" w:styleId="lidate1">
    <w:name w:val="lidate1"/>
    <w:basedOn w:val="DefaultParagraphFont"/>
    <w:uiPriority w:val="99"/>
    <w:rsid w:val="00142C0B"/>
    <w:rPr>
      <w:rFonts w:cs="Times New Roman"/>
      <w:color w:val="999999"/>
      <w:sz w:val="18"/>
      <w:szCs w:val="18"/>
    </w:rPr>
  </w:style>
  <w:style w:type="character" w:customStyle="1" w:styleId="lifloor">
    <w:name w:val="lifloor"/>
    <w:basedOn w:val="DefaultParagraphFont"/>
    <w:uiPriority w:val="99"/>
    <w:rsid w:val="00142C0B"/>
    <w:rPr>
      <w:rFonts w:ascii="Verdana" w:hAnsi="Verdana" w:cs="Verdana"/>
      <w:color w:val="CCCCCC"/>
      <w:sz w:val="18"/>
      <w:szCs w:val="18"/>
    </w:rPr>
  </w:style>
  <w:style w:type="character" w:customStyle="1" w:styleId="lipublishtime">
    <w:name w:val="lipublishtime"/>
    <w:basedOn w:val="DefaultParagraphFont"/>
    <w:uiPriority w:val="99"/>
    <w:rsid w:val="00142C0B"/>
    <w:rPr>
      <w:rFonts w:cs="Times New Roman"/>
      <w:color w:val="666666"/>
    </w:rPr>
  </w:style>
  <w:style w:type="character" w:customStyle="1" w:styleId="ctime">
    <w:name w:val="ctime"/>
    <w:basedOn w:val="DefaultParagraphFont"/>
    <w:uiPriority w:val="99"/>
    <w:rsid w:val="00142C0B"/>
    <w:rPr>
      <w:rFonts w:cs="Times New Roman"/>
      <w:color w:val="999999"/>
      <w:sz w:val="18"/>
      <w:szCs w:val="18"/>
    </w:rPr>
  </w:style>
  <w:style w:type="character" w:customStyle="1" w:styleId="bsharetext">
    <w:name w:val="bsharetext"/>
    <w:basedOn w:val="DefaultParagraphFont"/>
    <w:uiPriority w:val="99"/>
    <w:rsid w:val="00142C0B"/>
    <w:rPr>
      <w:rFonts w:cs="Times New Roman"/>
    </w:rPr>
  </w:style>
  <w:style w:type="character" w:customStyle="1" w:styleId="photonextno">
    <w:name w:val="photo_next_no"/>
    <w:basedOn w:val="DefaultParagraphFont"/>
    <w:uiPriority w:val="99"/>
    <w:rsid w:val="00142C0B"/>
    <w:rPr>
      <w:rFonts w:cs="Times New Roman"/>
    </w:rPr>
  </w:style>
  <w:style w:type="character" w:customStyle="1" w:styleId="photonext">
    <w:name w:val="photo_next"/>
    <w:basedOn w:val="DefaultParagraphFont"/>
    <w:uiPriority w:val="99"/>
    <w:rsid w:val="00142C0B"/>
    <w:rPr>
      <w:rFonts w:cs="Times New Roman"/>
    </w:rPr>
  </w:style>
  <w:style w:type="character" w:customStyle="1" w:styleId="photopreno">
    <w:name w:val="photo_pre_no"/>
    <w:basedOn w:val="DefaultParagraphFont"/>
    <w:uiPriority w:val="99"/>
    <w:rsid w:val="00142C0B"/>
    <w:rPr>
      <w:rFonts w:cs="Times New Roman"/>
    </w:rPr>
  </w:style>
  <w:style w:type="character" w:customStyle="1" w:styleId="photopre">
    <w:name w:val="photo_pre"/>
    <w:basedOn w:val="DefaultParagraphFont"/>
    <w:uiPriority w:val="99"/>
    <w:rsid w:val="00142C0B"/>
    <w:rPr>
      <w:rFonts w:cs="Times New Roman"/>
    </w:rPr>
  </w:style>
  <w:style w:type="character" w:customStyle="1" w:styleId="more">
    <w:name w:val="more"/>
    <w:basedOn w:val="DefaultParagraphFont"/>
    <w:uiPriority w:val="99"/>
    <w:rsid w:val="00142C0B"/>
    <w:rPr>
      <w:rFonts w:cs="Times New Roman"/>
    </w:rPr>
  </w:style>
  <w:style w:type="character" w:customStyle="1" w:styleId="nonext">
    <w:name w:val="no_next"/>
    <w:basedOn w:val="DefaultParagraphFont"/>
    <w:uiPriority w:val="99"/>
    <w:rsid w:val="00142C0B"/>
    <w:rPr>
      <w:rFonts w:cs="Times New Roman"/>
    </w:rPr>
  </w:style>
  <w:style w:type="character" w:customStyle="1" w:styleId="a">
    <w:name w:val="a"/>
    <w:basedOn w:val="DefaultParagraphFont"/>
    <w:uiPriority w:val="99"/>
    <w:rsid w:val="00142C0B"/>
    <w:rPr>
      <w:rFonts w:cs="Times New Roman"/>
    </w:rPr>
  </w:style>
  <w:style w:type="character" w:customStyle="1" w:styleId="nopre">
    <w:name w:val="no_pre"/>
    <w:basedOn w:val="DefaultParagraphFont"/>
    <w:uiPriority w:val="99"/>
    <w:rsid w:val="00142C0B"/>
    <w:rPr>
      <w:rFonts w:cs="Times New Roman"/>
    </w:rPr>
  </w:style>
  <w:style w:type="character" w:customStyle="1" w:styleId="next">
    <w:name w:val="next"/>
    <w:basedOn w:val="DefaultParagraphFont"/>
    <w:uiPriority w:val="99"/>
    <w:rsid w:val="00142C0B"/>
    <w:rPr>
      <w:rFonts w:cs="Times New Roman"/>
    </w:rPr>
  </w:style>
  <w:style w:type="character" w:customStyle="1" w:styleId="toover">
    <w:name w:val="to_over"/>
    <w:basedOn w:val="DefaultParagraphFont"/>
    <w:uiPriority w:val="99"/>
    <w:rsid w:val="00142C0B"/>
    <w:rPr>
      <w:rFonts w:cs="Times New Roman"/>
    </w:rPr>
  </w:style>
  <w:style w:type="character" w:customStyle="1" w:styleId="on">
    <w:name w:val="on"/>
    <w:basedOn w:val="DefaultParagraphFont"/>
    <w:uiPriority w:val="99"/>
    <w:rsid w:val="00142C0B"/>
    <w:rPr>
      <w:rFonts w:cs="Times New Roman"/>
      <w:bdr w:val="single" w:sz="6" w:space="0" w:color="990000"/>
      <w:shd w:val="clear" w:color="auto" w:fill="990000"/>
    </w:rPr>
  </w:style>
  <w:style w:type="character" w:customStyle="1" w:styleId="bdsmore">
    <w:name w:val="bds_more"/>
    <w:basedOn w:val="DefaultParagraphFont"/>
    <w:uiPriority w:val="99"/>
    <w:rsid w:val="00142C0B"/>
    <w:rPr>
      <w:rFonts w:cs="Times New Roman"/>
    </w:rPr>
  </w:style>
  <w:style w:type="character" w:customStyle="1" w:styleId="bdsmore1">
    <w:name w:val="bds_more1"/>
    <w:basedOn w:val="DefaultParagraphFont"/>
    <w:uiPriority w:val="99"/>
    <w:rsid w:val="00142C0B"/>
    <w:rPr>
      <w:rFonts w:ascii="宋体" w:eastAsia="宋体" w:hAnsi="宋体" w:cs="宋体"/>
    </w:rPr>
  </w:style>
  <w:style w:type="character" w:customStyle="1" w:styleId="bdsmore2">
    <w:name w:val="bds_more2"/>
    <w:basedOn w:val="DefaultParagraphFont"/>
    <w:uiPriority w:val="99"/>
    <w:rsid w:val="00142C0B"/>
    <w:rPr>
      <w:rFonts w:cs="Times New Roman"/>
    </w:rPr>
  </w:style>
  <w:style w:type="character" w:customStyle="1" w:styleId="bdsnopic">
    <w:name w:val="bds_nopic"/>
    <w:basedOn w:val="DefaultParagraphFont"/>
    <w:uiPriority w:val="99"/>
    <w:rsid w:val="00142C0B"/>
    <w:rPr>
      <w:rFonts w:cs="Times New Roman"/>
    </w:rPr>
  </w:style>
  <w:style w:type="character" w:customStyle="1" w:styleId="bdsnopic1">
    <w:name w:val="bds_nopic1"/>
    <w:basedOn w:val="DefaultParagraphFont"/>
    <w:uiPriority w:val="99"/>
    <w:rsid w:val="00142C0B"/>
    <w:rPr>
      <w:rFonts w:cs="Times New Roman"/>
    </w:rPr>
  </w:style>
  <w:style w:type="character" w:customStyle="1" w:styleId="bdsnopic2">
    <w:name w:val="bds_nopic2"/>
    <w:basedOn w:val="DefaultParagraphFont"/>
    <w:uiPriority w:val="99"/>
    <w:rsid w:val="00142C0B"/>
    <w:rPr>
      <w:rFonts w:cs="Times New Roman"/>
    </w:rPr>
  </w:style>
  <w:style w:type="character" w:customStyle="1" w:styleId="gray">
    <w:name w:val="gray"/>
    <w:basedOn w:val="DefaultParagraphFont"/>
    <w:uiPriority w:val="99"/>
    <w:rsid w:val="00142C0B"/>
    <w:rPr>
      <w:rFonts w:cs="Times New Roman"/>
      <w:color w:val="868686"/>
    </w:rPr>
  </w:style>
  <w:style w:type="character" w:customStyle="1" w:styleId="tjjdcs2">
    <w:name w:val="tjjd_cs2"/>
    <w:basedOn w:val="DefaultParagraphFont"/>
    <w:uiPriority w:val="99"/>
    <w:rsid w:val="00142C0B"/>
    <w:rPr>
      <w:rFonts w:cs="Times New Roman"/>
    </w:rPr>
  </w:style>
  <w:style w:type="character" w:customStyle="1" w:styleId="q3">
    <w:name w:val="q3"/>
    <w:basedOn w:val="DefaultParagraphFont"/>
    <w:uiPriority w:val="99"/>
    <w:rsid w:val="00142C0B"/>
    <w:rPr>
      <w:rFonts w:cs="Times New Roman"/>
    </w:rPr>
  </w:style>
  <w:style w:type="character" w:customStyle="1" w:styleId="cur">
    <w:name w:val="cur"/>
    <w:basedOn w:val="DefaultParagraphFont"/>
    <w:uiPriority w:val="99"/>
    <w:rsid w:val="00142C0B"/>
    <w:rPr>
      <w:rFonts w:cs="Times New Roman"/>
      <w:color w:val="666666"/>
      <w:bdr w:val="single" w:sz="6" w:space="0" w:color="CCD4E1"/>
    </w:rPr>
  </w:style>
  <w:style w:type="character" w:customStyle="1" w:styleId="cur1">
    <w:name w:val="cur1"/>
    <w:basedOn w:val="DefaultParagraphFont"/>
    <w:uiPriority w:val="99"/>
    <w:rsid w:val="00142C0B"/>
    <w:rPr>
      <w:rFonts w:cs="Times New Roman"/>
      <w:color w:val="666666"/>
      <w:bdr w:val="single" w:sz="6" w:space="0" w:color="CCD4E1"/>
    </w:rPr>
  </w:style>
  <w:style w:type="character" w:customStyle="1" w:styleId="current-btn">
    <w:name w:val="current-btn"/>
    <w:basedOn w:val="DefaultParagraphFont"/>
    <w:uiPriority w:val="99"/>
    <w:rsid w:val="00142C0B"/>
    <w:rPr>
      <w:rFonts w:cs="Times New Roman"/>
      <w:color w:val="000000"/>
      <w:bdr w:val="single" w:sz="6" w:space="0" w:color="FFFFFF"/>
      <w:shd w:val="clear" w:color="auto" w:fill="FFFFFF"/>
    </w:rPr>
  </w:style>
  <w:style w:type="character" w:customStyle="1" w:styleId="bdsmore3">
    <w:name w:val="bds_more3"/>
    <w:basedOn w:val="DefaultParagraphFont"/>
    <w:uiPriority w:val="99"/>
    <w:rsid w:val="00142C0B"/>
    <w:rPr>
      <w:rFonts w:ascii="宋体" w:eastAsia="宋体" w:hAnsi="宋体" w:cs="宋体"/>
    </w:rPr>
  </w:style>
  <w:style w:type="character" w:customStyle="1" w:styleId="bdsmore4">
    <w:name w:val="bds_more4"/>
    <w:basedOn w:val="DefaultParagraphFont"/>
    <w:uiPriority w:val="99"/>
    <w:rsid w:val="00142C0B"/>
    <w:rPr>
      <w:rFonts w:cs="Times New Roman"/>
    </w:rPr>
  </w:style>
  <w:style w:type="character" w:customStyle="1" w:styleId="more2">
    <w:name w:val="more2"/>
    <w:basedOn w:val="DefaultParagraphFont"/>
    <w:uiPriority w:val="99"/>
    <w:rsid w:val="00142C0B"/>
    <w:rPr>
      <w:rFonts w:cs="Times New Roman"/>
    </w:rPr>
  </w:style>
  <w:style w:type="character" w:customStyle="1" w:styleId="a1">
    <w:name w:val="a1"/>
    <w:basedOn w:val="DefaultParagraphFont"/>
    <w:uiPriority w:val="99"/>
    <w:rsid w:val="00142C0B"/>
    <w:rPr>
      <w:rFonts w:cs="Times New Roman"/>
    </w:rPr>
  </w:style>
  <w:style w:type="character" w:customStyle="1" w:styleId="checked">
    <w:name w:val="checked"/>
    <w:basedOn w:val="DefaultParagraphFont"/>
    <w:uiPriority w:val="99"/>
    <w:rsid w:val="00142C0B"/>
    <w:rPr>
      <w:rFonts w:cs="Times New Roman"/>
      <w:color w:val="4D4D4D"/>
      <w:u w:val="none"/>
      <w:shd w:val="clear" w:color="auto" w:fill="FFFFFF"/>
    </w:rPr>
  </w:style>
  <w:style w:type="character" w:customStyle="1" w:styleId="checked1">
    <w:name w:val="checked1"/>
    <w:basedOn w:val="DefaultParagraphFont"/>
    <w:uiPriority w:val="99"/>
    <w:rsid w:val="00142C0B"/>
    <w:rPr>
      <w:rFonts w:cs="Times New Roman"/>
      <w:shd w:val="clear" w:color="auto" w:fill="FFFFFF"/>
    </w:rPr>
  </w:style>
  <w:style w:type="character" w:customStyle="1" w:styleId="inquiry">
    <w:name w:val="inquiry"/>
    <w:basedOn w:val="DefaultParagraphFont"/>
    <w:uiPriority w:val="99"/>
    <w:rsid w:val="00142C0B"/>
    <w:rPr>
      <w:rFonts w:cs="Times New Roman"/>
      <w:color w:val="FF6600"/>
      <w:sz w:val="21"/>
      <w:szCs w:val="21"/>
    </w:rPr>
  </w:style>
  <w:style w:type="character" w:customStyle="1" w:styleId="inquiry1">
    <w:name w:val="inquiry1"/>
    <w:basedOn w:val="DefaultParagraphFont"/>
    <w:uiPriority w:val="99"/>
    <w:rsid w:val="00142C0B"/>
    <w:rPr>
      <w:rFonts w:cs="Times New Roman"/>
      <w:color w:val="FF6600"/>
      <w:sz w:val="21"/>
      <w:szCs w:val="21"/>
    </w:rPr>
  </w:style>
  <w:style w:type="character" w:customStyle="1" w:styleId="inquiry2">
    <w:name w:val="inquiry2"/>
    <w:basedOn w:val="DefaultParagraphFont"/>
    <w:uiPriority w:val="99"/>
    <w:rsid w:val="00142C0B"/>
    <w:rPr>
      <w:rFonts w:cs="Times New Roman"/>
      <w:color w:val="FF6600"/>
      <w:sz w:val="21"/>
      <w:szCs w:val="21"/>
    </w:rPr>
  </w:style>
  <w:style w:type="character" w:customStyle="1" w:styleId="bank">
    <w:name w:val="bank"/>
    <w:basedOn w:val="DefaultParagraphFont"/>
    <w:uiPriority w:val="99"/>
    <w:rsid w:val="00142C0B"/>
    <w:rPr>
      <w:rFonts w:cs="Times New Roman"/>
      <w:color w:val="FF6600"/>
      <w:sz w:val="21"/>
      <w:szCs w:val="21"/>
    </w:rPr>
  </w:style>
  <w:style w:type="character" w:customStyle="1" w:styleId="bank1">
    <w:name w:val="bank1"/>
    <w:basedOn w:val="DefaultParagraphFont"/>
    <w:uiPriority w:val="99"/>
    <w:rsid w:val="00142C0B"/>
    <w:rPr>
      <w:rFonts w:cs="Times New Roman"/>
      <w:color w:val="FF6600"/>
      <w:sz w:val="21"/>
      <w:szCs w:val="21"/>
    </w:rPr>
  </w:style>
  <w:style w:type="character" w:customStyle="1" w:styleId="bank2">
    <w:name w:val="bank2"/>
    <w:basedOn w:val="DefaultParagraphFont"/>
    <w:uiPriority w:val="99"/>
    <w:rsid w:val="00142C0B"/>
    <w:rPr>
      <w:rFonts w:cs="Times New Roman"/>
      <w:color w:val="FF6600"/>
      <w:sz w:val="21"/>
      <w:szCs w:val="21"/>
    </w:rPr>
  </w:style>
  <w:style w:type="character" w:customStyle="1" w:styleId="info">
    <w:name w:val="info"/>
    <w:basedOn w:val="DefaultParagraphFont"/>
    <w:uiPriority w:val="99"/>
    <w:rsid w:val="00142C0B"/>
    <w:rPr>
      <w:rFonts w:cs="Times New Roman"/>
      <w:color w:val="FF6600"/>
      <w:sz w:val="21"/>
      <w:szCs w:val="21"/>
    </w:rPr>
  </w:style>
  <w:style w:type="character" w:customStyle="1" w:styleId="info1">
    <w:name w:val="info1"/>
    <w:basedOn w:val="DefaultParagraphFont"/>
    <w:uiPriority w:val="99"/>
    <w:rsid w:val="00142C0B"/>
    <w:rPr>
      <w:rFonts w:cs="Times New Roman"/>
      <w:color w:val="FF6600"/>
      <w:sz w:val="21"/>
      <w:szCs w:val="21"/>
    </w:rPr>
  </w:style>
  <w:style w:type="character" w:customStyle="1" w:styleId="info2">
    <w:name w:val="info2"/>
    <w:basedOn w:val="DefaultParagraphFont"/>
    <w:uiPriority w:val="99"/>
    <w:rsid w:val="00142C0B"/>
    <w:rPr>
      <w:rFonts w:cs="Times New Roman"/>
      <w:color w:val="FF6600"/>
      <w:sz w:val="21"/>
      <w:szCs w:val="21"/>
    </w:rPr>
  </w:style>
  <w:style w:type="character" w:customStyle="1" w:styleId="law">
    <w:name w:val="law"/>
    <w:basedOn w:val="DefaultParagraphFont"/>
    <w:uiPriority w:val="99"/>
    <w:rsid w:val="00142C0B"/>
    <w:rPr>
      <w:rFonts w:cs="Times New Roman"/>
      <w:color w:val="FF6600"/>
      <w:sz w:val="21"/>
      <w:szCs w:val="21"/>
    </w:rPr>
  </w:style>
  <w:style w:type="character" w:customStyle="1" w:styleId="coin">
    <w:name w:val="coin"/>
    <w:basedOn w:val="DefaultParagraphFont"/>
    <w:uiPriority w:val="99"/>
    <w:rsid w:val="00142C0B"/>
    <w:rPr>
      <w:rFonts w:cs="Times New Roman"/>
      <w:color w:val="FF6600"/>
      <w:sz w:val="21"/>
      <w:szCs w:val="21"/>
    </w:rPr>
  </w:style>
  <w:style w:type="character" w:customStyle="1" w:styleId="exchange">
    <w:name w:val="exchange"/>
    <w:basedOn w:val="DefaultParagraphFont"/>
    <w:uiPriority w:val="99"/>
    <w:rsid w:val="00142C0B"/>
    <w:rPr>
      <w:rFonts w:cs="Times New Roman"/>
      <w:color w:val="FF6600"/>
      <w:sz w:val="21"/>
      <w:szCs w:val="21"/>
    </w:rPr>
  </w:style>
  <w:style w:type="character" w:customStyle="1" w:styleId="exchange1">
    <w:name w:val="exchange1"/>
    <w:basedOn w:val="DefaultParagraphFont"/>
    <w:uiPriority w:val="99"/>
    <w:rsid w:val="00142C0B"/>
    <w:rPr>
      <w:rFonts w:cs="Times New Roman"/>
      <w:color w:val="FF6600"/>
      <w:sz w:val="21"/>
      <w:szCs w:val="21"/>
    </w:rPr>
  </w:style>
  <w:style w:type="character" w:customStyle="1" w:styleId="coin1">
    <w:name w:val="coin1"/>
    <w:basedOn w:val="DefaultParagraphFont"/>
    <w:uiPriority w:val="99"/>
    <w:rsid w:val="00142C0B"/>
    <w:rPr>
      <w:rFonts w:cs="Times New Roman"/>
      <w:color w:val="FF6600"/>
      <w:sz w:val="21"/>
      <w:szCs w:val="21"/>
    </w:rPr>
  </w:style>
  <w:style w:type="character" w:customStyle="1" w:styleId="style41">
    <w:name w:val="style41"/>
    <w:basedOn w:val="DefaultParagraphFont"/>
    <w:uiPriority w:val="99"/>
    <w:rsid w:val="00142C0B"/>
    <w:rPr>
      <w:rFonts w:cs="Times New Roman"/>
      <w:sz w:val="24"/>
      <w:szCs w:val="24"/>
    </w:rPr>
  </w:style>
  <w:style w:type="character" w:customStyle="1" w:styleId="ico">
    <w:name w:val="ico"/>
    <w:basedOn w:val="DefaultParagraphFont"/>
    <w:uiPriority w:val="99"/>
    <w:rsid w:val="00142C0B"/>
    <w:rPr>
      <w:rFonts w:cs="Times New Roman"/>
    </w:rPr>
  </w:style>
  <w:style w:type="character" w:customStyle="1" w:styleId="ico1">
    <w:name w:val="ico1"/>
    <w:basedOn w:val="DefaultParagraphFont"/>
    <w:uiPriority w:val="99"/>
    <w:rsid w:val="00142C0B"/>
    <w:rPr>
      <w:rFonts w:cs="Times New Roman"/>
    </w:rPr>
  </w:style>
  <w:style w:type="character" w:customStyle="1" w:styleId="active">
    <w:name w:val="active"/>
    <w:basedOn w:val="DefaultParagraphFont"/>
    <w:uiPriority w:val="99"/>
    <w:rsid w:val="00142C0B"/>
    <w:rPr>
      <w:rFonts w:cs="Times New Roman"/>
      <w:bdr w:val="single" w:sz="6" w:space="0" w:color="396B90"/>
      <w:shd w:val="clear" w:color="auto" w:fill="59A2D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388388.htm" TargetMode="External"/><Relationship Id="rId13" Type="http://schemas.openxmlformats.org/officeDocument/2006/relationships/hyperlink" Target="http://wiki.mbalib.com/wiki/%E7%A2%B3%E6%8E%92%E6%94%BE%E6%9D%83" TargetMode="External"/><Relationship Id="rId18" Type="http://schemas.openxmlformats.org/officeDocument/2006/relationships/hyperlink" Target="http://baike.baidu.com/view/126106.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ike.baidu.com/view/1417292.htm" TargetMode="External"/><Relationship Id="rId12" Type="http://schemas.openxmlformats.org/officeDocument/2006/relationships/hyperlink" Target="http://wiki.mbalib.com/wiki/%E9%87%91%E8%9E%8D%E4%BA%A4%E6%98%93" TargetMode="External"/><Relationship Id="rId17" Type="http://schemas.openxmlformats.org/officeDocument/2006/relationships/hyperlink" Target="http://baike.baidu.com/view/2761.htm" TargetMode="External"/><Relationship Id="rId2" Type="http://schemas.openxmlformats.org/officeDocument/2006/relationships/settings" Target="settings.xml"/><Relationship Id="rId16" Type="http://schemas.openxmlformats.org/officeDocument/2006/relationships/hyperlink" Target="http://wiki.mbalib.com/wiki/%E9%87%91%E8%9E%8D%E4%B8%AD%E4%BB%8B%E6%B4%BB%E5%8A%A8"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aike.baidu.com/view/1554119.htm" TargetMode="External"/><Relationship Id="rId11" Type="http://schemas.openxmlformats.org/officeDocument/2006/relationships/hyperlink" Target="http://wiki.mbalib.com/wiki/%E9%87%91%E8%9E%8D" TargetMode="External"/><Relationship Id="rId5" Type="http://schemas.openxmlformats.org/officeDocument/2006/relationships/endnotes" Target="endnotes.xml"/><Relationship Id="rId15" Type="http://schemas.openxmlformats.org/officeDocument/2006/relationships/hyperlink" Target="http://wiki.mbalib.com/wiki/%E8%9E%8D%E8%B5%84" TargetMode="External"/><Relationship Id="rId10" Type="http://schemas.openxmlformats.org/officeDocument/2006/relationships/hyperlink" Target="http://wiki.mbalib.com/wiki/%E6%9C%8D%E5%8A%A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iki.mbalib.com/wiki/%E6%BF%80%E5%8A%B1%E6%9C%BA%E5%88%B6" TargetMode="External"/><Relationship Id="rId14" Type="http://schemas.openxmlformats.org/officeDocument/2006/relationships/hyperlink" Target="http://wiki.mbalib.com/wiki/%E6%8A%95%E8%B5%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23</Pages>
  <Words>2265</Words>
  <Characters>12913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发展回顾与发展环境</dc:title>
  <dc:subject/>
  <dc:creator>sxj</dc:creator>
  <cp:keywords/>
  <dc:description/>
  <cp:lastModifiedBy>微软用户</cp:lastModifiedBy>
  <cp:revision>46</cp:revision>
  <cp:lastPrinted>2017-06-06T01:09:00Z</cp:lastPrinted>
  <dcterms:created xsi:type="dcterms:W3CDTF">2015-11-25T00:41:00Z</dcterms:created>
  <dcterms:modified xsi:type="dcterms:W3CDTF">2017-06-12T01:03:00Z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