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21" w:rsidRPr="00881E85" w:rsidRDefault="00E61A21" w:rsidP="00881E85">
      <w:pPr>
        <w:spacing w:line="760" w:lineRule="exact"/>
        <w:jc w:val="center"/>
        <w:rPr>
          <w:rFonts w:ascii="黑体" w:eastAsia="黑体" w:hAnsi="黑体"/>
          <w:b/>
          <w:color w:val="000000"/>
          <w:sz w:val="44"/>
          <w:szCs w:val="44"/>
        </w:rPr>
      </w:pPr>
      <w:r w:rsidRPr="00881E85">
        <w:rPr>
          <w:rFonts w:ascii="黑体" w:eastAsia="黑体" w:hAnsi="黑体" w:hint="eastAsia"/>
          <w:b/>
          <w:color w:val="000000"/>
          <w:sz w:val="44"/>
          <w:szCs w:val="44"/>
        </w:rPr>
        <w:t>青田县人才发展“十三五”规划</w:t>
      </w:r>
    </w:p>
    <w:p w:rsidR="00E61A21" w:rsidRPr="00881E85" w:rsidRDefault="00E61A21" w:rsidP="00881E85">
      <w:pPr>
        <w:spacing w:line="620" w:lineRule="exact"/>
        <w:jc w:val="center"/>
        <w:rPr>
          <w:rFonts w:ascii="黑体" w:eastAsia="黑体" w:hAnsi="黑体"/>
          <w:b/>
          <w:color w:val="000000"/>
          <w:sz w:val="32"/>
          <w:szCs w:val="32"/>
        </w:rPr>
      </w:pPr>
    </w:p>
    <w:p w:rsidR="00E61A21" w:rsidRPr="00881E85" w:rsidRDefault="00E61A21" w:rsidP="00C96DEF">
      <w:pPr>
        <w:pStyle w:val="NormalWeb"/>
        <w:spacing w:before="0" w:beforeAutospacing="0" w:after="0" w:afterAutospacing="0" w:line="620" w:lineRule="exact"/>
        <w:ind w:firstLineChars="200" w:firstLine="640"/>
        <w:rPr>
          <w:rFonts w:ascii="仿宋_GB2312" w:eastAsia="仿宋_GB2312"/>
          <w:sz w:val="32"/>
          <w:szCs w:val="32"/>
        </w:rPr>
      </w:pPr>
      <w:r w:rsidRPr="00881E85">
        <w:rPr>
          <w:rFonts w:ascii="仿宋_GB2312" w:eastAsia="仿宋_GB2312" w:hint="eastAsia"/>
          <w:sz w:val="32"/>
          <w:szCs w:val="32"/>
        </w:rPr>
        <w:t>为深入贯彻中央和省委关于全面深化改革、加快实施创新驱动战略的总体部署，全面推进人才强县战略，根据《浙江省人才发展“十三五”规划》、《丽水市人才发展“十三五”规划》、《青田县国民经济和社会发展第十三个五年规划纲要》等，制定本规划。</w:t>
      </w:r>
      <w:bookmarkStart w:id="0" w:name="_Toc309000613"/>
      <w:bookmarkStart w:id="1" w:name="_Toc469611596"/>
    </w:p>
    <w:p w:rsidR="00E61A21" w:rsidRPr="00881E85" w:rsidRDefault="00E61A21" w:rsidP="00C96DEF">
      <w:pPr>
        <w:pStyle w:val="NormalWeb"/>
        <w:spacing w:before="0" w:beforeAutospacing="0" w:after="0" w:afterAutospacing="0" w:line="620" w:lineRule="exact"/>
        <w:ind w:firstLineChars="200" w:firstLine="640"/>
        <w:rPr>
          <w:rFonts w:ascii="黑体" w:eastAsia="黑体"/>
          <w:sz w:val="32"/>
          <w:szCs w:val="32"/>
        </w:rPr>
      </w:pPr>
      <w:r w:rsidRPr="00881E85">
        <w:rPr>
          <w:rFonts w:ascii="黑体" w:eastAsia="黑体" w:hint="eastAsia"/>
          <w:sz w:val="32"/>
          <w:szCs w:val="32"/>
        </w:rPr>
        <w:t>一、基础背景</w:t>
      </w:r>
      <w:bookmarkStart w:id="2" w:name="_Toc469611597"/>
      <w:bookmarkEnd w:id="0"/>
      <w:bookmarkEnd w:id="1"/>
    </w:p>
    <w:p w:rsidR="00E61A21" w:rsidRPr="00881E85" w:rsidRDefault="00E61A21" w:rsidP="00DF399B">
      <w:pPr>
        <w:pStyle w:val="NormalWeb"/>
        <w:spacing w:before="0" w:beforeAutospacing="0" w:after="0" w:afterAutospacing="0" w:line="620" w:lineRule="exact"/>
        <w:ind w:firstLineChars="200" w:firstLine="640"/>
        <w:rPr>
          <w:rFonts w:ascii="楷体_GB2312" w:eastAsia="楷体_GB2312" w:hAnsi="楷体" w:cs="楷体"/>
          <w:color w:val="000000"/>
          <w:sz w:val="32"/>
          <w:szCs w:val="32"/>
        </w:rPr>
      </w:pPr>
      <w:r w:rsidRPr="00881E85">
        <w:rPr>
          <w:rFonts w:ascii="楷体_GB2312" w:eastAsia="楷体_GB2312" w:hAnsi="楷体" w:cs="楷体" w:hint="eastAsia"/>
          <w:color w:val="000000"/>
          <w:sz w:val="32"/>
          <w:szCs w:val="32"/>
        </w:rPr>
        <w:t>（一）发展基础</w:t>
      </w:r>
      <w:bookmarkEnd w:id="2"/>
    </w:p>
    <w:p w:rsidR="00E61A21" w:rsidRPr="00881E85" w:rsidRDefault="00E61A21" w:rsidP="00DF399B">
      <w:pPr>
        <w:spacing w:line="620" w:lineRule="exact"/>
        <w:ind w:firstLineChars="200" w:firstLine="640"/>
        <w:rPr>
          <w:rFonts w:ascii="仿宋_GB2312" w:eastAsia="仿宋_GB2312"/>
          <w:color w:val="000000"/>
          <w:sz w:val="32"/>
          <w:szCs w:val="32"/>
        </w:rPr>
      </w:pPr>
      <w:r w:rsidRPr="00881E85">
        <w:rPr>
          <w:rFonts w:ascii="仿宋_GB2312" w:eastAsia="仿宋_GB2312" w:hint="eastAsia"/>
          <w:color w:val="000000"/>
          <w:sz w:val="32"/>
          <w:szCs w:val="32"/>
        </w:rPr>
        <w:t>“十二五”时期，在县委、县政府高度重视和大力推动下，人才强县建设进入快速发展通道，取得了可喜成效。</w:t>
      </w:r>
    </w:p>
    <w:p w:rsidR="00E61A21" w:rsidRPr="00881E85" w:rsidRDefault="00E61A21" w:rsidP="00DF399B">
      <w:pPr>
        <w:spacing w:line="620" w:lineRule="exact"/>
        <w:ind w:firstLineChars="200" w:firstLine="643"/>
        <w:rPr>
          <w:rFonts w:ascii="仿宋_GB2312" w:eastAsia="仿宋_GB2312" w:hAnsi="仿宋_GB2312" w:cs="仿宋_GB2312"/>
          <w:b/>
          <w:color w:val="000000"/>
          <w:sz w:val="32"/>
          <w:szCs w:val="32"/>
        </w:rPr>
      </w:pPr>
      <w:r w:rsidRPr="00881E85">
        <w:rPr>
          <w:rFonts w:ascii="仿宋_GB2312" w:eastAsia="仿宋_GB2312" w:hAnsi="仿宋_GB2312" w:cs="仿宋_GB2312"/>
          <w:b/>
          <w:color w:val="000000"/>
          <w:sz w:val="32"/>
          <w:szCs w:val="32"/>
        </w:rPr>
        <w:t>1</w:t>
      </w:r>
      <w:r w:rsidRPr="00881E85">
        <w:rPr>
          <w:rFonts w:ascii="仿宋_GB2312" w:eastAsia="仿宋_GB2312" w:hAnsi="仿宋_GB2312" w:cs="仿宋_GB2312" w:hint="eastAsia"/>
          <w:b/>
          <w:color w:val="000000"/>
          <w:sz w:val="32"/>
          <w:szCs w:val="32"/>
        </w:rPr>
        <w:t>．坚持党管人才，不断优化体制机制</w:t>
      </w:r>
    </w:p>
    <w:p w:rsidR="00E61A21" w:rsidRPr="00881E85" w:rsidRDefault="00E61A21" w:rsidP="00DF399B">
      <w:pPr>
        <w:spacing w:line="620" w:lineRule="exact"/>
        <w:ind w:firstLineChars="200" w:firstLine="640"/>
        <w:rPr>
          <w:rFonts w:ascii="仿宋_GB2312" w:eastAsia="仿宋_GB2312"/>
          <w:color w:val="000000"/>
          <w:sz w:val="32"/>
          <w:szCs w:val="32"/>
        </w:rPr>
      </w:pPr>
      <w:r w:rsidRPr="00881E85">
        <w:rPr>
          <w:rFonts w:ascii="仿宋_GB2312" w:eastAsia="仿宋_GB2312" w:hint="eastAsia"/>
          <w:color w:val="000000"/>
          <w:sz w:val="32"/>
          <w:szCs w:val="32"/>
        </w:rPr>
        <w:t>基本构建了党委统一领导、组织部门牵头抓总、有关部门各司其职与密切配合、社会力量发挥重要作用的人才工作新格局。相继制定出台了《青田县加强高层次人才队伍建设的实施意见》及</w:t>
      </w:r>
      <w:r w:rsidRPr="00881E85">
        <w:rPr>
          <w:rFonts w:ascii="仿宋_GB2312" w:eastAsia="仿宋_GB2312"/>
          <w:color w:val="000000"/>
          <w:sz w:val="32"/>
          <w:szCs w:val="32"/>
        </w:rPr>
        <w:t>6</w:t>
      </w:r>
      <w:r w:rsidRPr="00881E85">
        <w:rPr>
          <w:rFonts w:ascii="仿宋_GB2312" w:eastAsia="仿宋_GB2312" w:hint="eastAsia"/>
          <w:color w:val="000000"/>
          <w:sz w:val="32"/>
          <w:szCs w:val="32"/>
        </w:rPr>
        <w:t>个配套实施办法、《关于建立海外高层次人才工作驿站的意见》等文件，初步构建了涵盖人才引进、培养、使用、激励等环节的人才工作政策体系。建立人才工作专项述职和评议、人才办工作例会、专项督查等制度，学科人才建设“首席</w:t>
      </w:r>
      <w:r w:rsidRPr="00881E85">
        <w:rPr>
          <w:rFonts w:ascii="仿宋_GB2312" w:eastAsia="仿宋_GB2312"/>
          <w:color w:val="000000"/>
          <w:sz w:val="32"/>
          <w:szCs w:val="32"/>
        </w:rPr>
        <w:t>+</w:t>
      </w:r>
      <w:r w:rsidRPr="00881E85">
        <w:rPr>
          <w:rFonts w:ascii="仿宋_GB2312" w:eastAsia="仿宋_GB2312" w:hint="eastAsia"/>
          <w:color w:val="000000"/>
          <w:sz w:val="32"/>
          <w:szCs w:val="32"/>
        </w:rPr>
        <w:t>团队”模式获得全国基层人才工作创新优秀案例奖。累计投入财政人才专项资金</w:t>
      </w:r>
      <w:r w:rsidRPr="00881E85">
        <w:rPr>
          <w:rFonts w:ascii="仿宋_GB2312" w:eastAsia="仿宋_GB2312"/>
          <w:b/>
          <w:color w:val="000000"/>
          <w:sz w:val="32"/>
          <w:szCs w:val="32"/>
        </w:rPr>
        <w:t>11331.6</w:t>
      </w:r>
      <w:r w:rsidRPr="00881E85">
        <w:rPr>
          <w:rFonts w:ascii="仿宋_GB2312" w:eastAsia="仿宋_GB2312" w:hint="eastAsia"/>
          <w:color w:val="000000"/>
          <w:sz w:val="32"/>
          <w:szCs w:val="32"/>
        </w:rPr>
        <w:t>万元，初步建立政府、社会、用人单位和个人多元化的人才资金投放体系。</w:t>
      </w:r>
    </w:p>
    <w:p w:rsidR="00E61A21" w:rsidRPr="00881E85" w:rsidRDefault="00E61A21" w:rsidP="00DF399B">
      <w:pPr>
        <w:spacing w:line="620" w:lineRule="exact"/>
        <w:ind w:firstLineChars="200" w:firstLine="643"/>
        <w:rPr>
          <w:rFonts w:ascii="仿宋_GB2312" w:eastAsia="仿宋_GB2312" w:hAnsi="仿宋_GB2312" w:cs="仿宋_GB2312"/>
          <w:b/>
          <w:color w:val="000000"/>
          <w:sz w:val="32"/>
          <w:szCs w:val="32"/>
        </w:rPr>
      </w:pPr>
      <w:r w:rsidRPr="00881E85">
        <w:rPr>
          <w:rFonts w:ascii="仿宋_GB2312" w:eastAsia="仿宋_GB2312" w:hAnsi="仿宋_GB2312" w:cs="仿宋_GB2312"/>
          <w:b/>
          <w:color w:val="000000"/>
          <w:sz w:val="32"/>
          <w:szCs w:val="32"/>
        </w:rPr>
        <w:t>2</w:t>
      </w:r>
      <w:r w:rsidRPr="00881E85">
        <w:rPr>
          <w:rFonts w:ascii="仿宋_GB2312" w:eastAsia="仿宋_GB2312" w:hAnsi="仿宋_GB2312" w:cs="仿宋_GB2312" w:hint="eastAsia"/>
          <w:b/>
          <w:color w:val="000000"/>
          <w:sz w:val="32"/>
          <w:szCs w:val="32"/>
        </w:rPr>
        <w:t>．突出工程抓手，人才量质稳步提升</w:t>
      </w:r>
    </w:p>
    <w:p w:rsidR="00E61A21" w:rsidRPr="00881E85" w:rsidRDefault="00E61A21" w:rsidP="00DF399B">
      <w:pPr>
        <w:spacing w:line="620" w:lineRule="exact"/>
        <w:ind w:firstLineChars="200" w:firstLine="640"/>
        <w:rPr>
          <w:rFonts w:ascii="仿宋_GB2312" w:eastAsia="仿宋_GB2312"/>
          <w:color w:val="000000"/>
          <w:sz w:val="32"/>
          <w:szCs w:val="32"/>
        </w:rPr>
      </w:pPr>
      <w:r w:rsidRPr="00881E85">
        <w:rPr>
          <w:rFonts w:ascii="仿宋_GB2312" w:eastAsia="仿宋_GB2312" w:hint="eastAsia"/>
          <w:color w:val="000000"/>
          <w:sz w:val="32"/>
          <w:szCs w:val="32"/>
        </w:rPr>
        <w:t>通过实施高层次创业创新人才开发工程、石雕艺术特色人才培养提升工程等</w:t>
      </w:r>
      <w:r w:rsidRPr="00881E85">
        <w:rPr>
          <w:rFonts w:ascii="仿宋_GB2312" w:eastAsia="仿宋_GB2312"/>
          <w:color w:val="000000"/>
          <w:sz w:val="32"/>
          <w:szCs w:val="32"/>
        </w:rPr>
        <w:t>10</w:t>
      </w:r>
      <w:r w:rsidRPr="00881E85">
        <w:rPr>
          <w:rFonts w:ascii="仿宋_GB2312" w:eastAsia="仿宋_GB2312" w:hint="eastAsia"/>
          <w:color w:val="000000"/>
          <w:sz w:val="32"/>
          <w:szCs w:val="32"/>
        </w:rPr>
        <w:t>余项人才重大工程，深化人才资源开发、强化吸纳集聚功能，人才量质提升到新水平。截至</w:t>
      </w:r>
      <w:r w:rsidRPr="00881E85">
        <w:rPr>
          <w:rFonts w:ascii="仿宋_GB2312" w:eastAsia="仿宋_GB2312"/>
          <w:color w:val="000000"/>
          <w:sz w:val="32"/>
          <w:szCs w:val="32"/>
        </w:rPr>
        <w:t>2015</w:t>
      </w:r>
      <w:r w:rsidRPr="00881E85">
        <w:rPr>
          <w:rFonts w:ascii="仿宋_GB2312" w:eastAsia="仿宋_GB2312" w:hint="eastAsia"/>
          <w:color w:val="000000"/>
          <w:sz w:val="32"/>
          <w:szCs w:val="32"/>
        </w:rPr>
        <w:t>年底，全县人才资源总量</w:t>
      </w:r>
      <w:r w:rsidRPr="00881E85">
        <w:rPr>
          <w:rFonts w:ascii="仿宋_GB2312" w:eastAsia="仿宋_GB2312"/>
          <w:color w:val="000000"/>
          <w:sz w:val="32"/>
          <w:szCs w:val="32"/>
        </w:rPr>
        <w:t>4</w:t>
      </w:r>
      <w:r w:rsidRPr="00881E85">
        <w:rPr>
          <w:rFonts w:ascii="仿宋_GB2312" w:eastAsia="仿宋_GB2312" w:hint="eastAsia"/>
          <w:color w:val="000000"/>
          <w:sz w:val="32"/>
          <w:szCs w:val="32"/>
        </w:rPr>
        <w:t>万人，自</w:t>
      </w:r>
      <w:r w:rsidRPr="00881E85">
        <w:rPr>
          <w:rFonts w:ascii="仿宋_GB2312" w:eastAsia="仿宋_GB2312"/>
          <w:color w:val="000000"/>
          <w:sz w:val="32"/>
          <w:szCs w:val="32"/>
        </w:rPr>
        <w:t>2010</w:t>
      </w:r>
      <w:r w:rsidRPr="00881E85">
        <w:rPr>
          <w:rFonts w:ascii="仿宋_GB2312" w:eastAsia="仿宋_GB2312" w:hint="eastAsia"/>
          <w:color w:val="000000"/>
          <w:sz w:val="32"/>
          <w:szCs w:val="32"/>
        </w:rPr>
        <w:t>年以来年均增长</w:t>
      </w:r>
      <w:r w:rsidRPr="00881E85">
        <w:rPr>
          <w:rFonts w:ascii="仿宋_GB2312" w:eastAsia="仿宋_GB2312"/>
          <w:color w:val="000000"/>
          <w:sz w:val="32"/>
          <w:szCs w:val="32"/>
        </w:rPr>
        <w:t>8.5%</w:t>
      </w:r>
      <w:r w:rsidRPr="00881E85">
        <w:rPr>
          <w:rFonts w:ascii="仿宋_GB2312" w:eastAsia="仿宋_GB2312" w:hint="eastAsia"/>
          <w:color w:val="000000"/>
          <w:sz w:val="32"/>
          <w:szCs w:val="32"/>
        </w:rPr>
        <w:t>，人才密度达到</w:t>
      </w:r>
      <w:r w:rsidRPr="00881E85">
        <w:rPr>
          <w:rFonts w:ascii="仿宋_GB2312" w:eastAsia="仿宋_GB2312"/>
          <w:color w:val="000000"/>
          <w:sz w:val="32"/>
          <w:szCs w:val="32"/>
        </w:rPr>
        <w:t>1159</w:t>
      </w:r>
      <w:r w:rsidRPr="00881E85">
        <w:rPr>
          <w:rFonts w:ascii="仿宋_GB2312" w:eastAsia="仿宋_GB2312" w:hint="eastAsia"/>
          <w:color w:val="000000"/>
          <w:sz w:val="32"/>
          <w:szCs w:val="32"/>
        </w:rPr>
        <w:t>人</w:t>
      </w:r>
      <w:r w:rsidRPr="00881E85">
        <w:rPr>
          <w:rFonts w:ascii="仿宋_GB2312" w:eastAsia="仿宋_GB2312"/>
          <w:color w:val="000000"/>
          <w:sz w:val="32"/>
          <w:szCs w:val="32"/>
        </w:rPr>
        <w:t>/</w:t>
      </w:r>
      <w:r w:rsidRPr="00881E85">
        <w:rPr>
          <w:rFonts w:ascii="仿宋_GB2312" w:eastAsia="仿宋_GB2312" w:hint="eastAsia"/>
          <w:color w:val="000000"/>
          <w:sz w:val="32"/>
          <w:szCs w:val="32"/>
        </w:rPr>
        <w:t>万人；在人才六支队伍中，党政人才</w:t>
      </w:r>
      <w:r w:rsidRPr="00881E85">
        <w:rPr>
          <w:rFonts w:ascii="仿宋_GB2312" w:eastAsia="仿宋_GB2312"/>
          <w:color w:val="000000"/>
          <w:sz w:val="32"/>
          <w:szCs w:val="32"/>
        </w:rPr>
        <w:t>2039</w:t>
      </w:r>
      <w:r w:rsidRPr="00881E85">
        <w:rPr>
          <w:rFonts w:ascii="仿宋_GB2312" w:eastAsia="仿宋_GB2312" w:hint="eastAsia"/>
          <w:color w:val="000000"/>
          <w:sz w:val="32"/>
          <w:szCs w:val="32"/>
        </w:rPr>
        <w:t>人，企业经营管理人才</w:t>
      </w:r>
      <w:r w:rsidRPr="00881E85">
        <w:rPr>
          <w:rFonts w:ascii="仿宋_GB2312" w:eastAsia="仿宋_GB2312"/>
          <w:color w:val="000000"/>
          <w:sz w:val="32"/>
          <w:szCs w:val="32"/>
        </w:rPr>
        <w:t>9457</w:t>
      </w:r>
      <w:r w:rsidRPr="00881E85">
        <w:rPr>
          <w:rFonts w:ascii="仿宋_GB2312" w:eastAsia="仿宋_GB2312" w:hint="eastAsia"/>
          <w:color w:val="000000"/>
          <w:sz w:val="32"/>
          <w:szCs w:val="32"/>
        </w:rPr>
        <w:t>人，专业技术人才</w:t>
      </w:r>
      <w:r w:rsidRPr="00881E85">
        <w:rPr>
          <w:rFonts w:ascii="仿宋_GB2312" w:eastAsia="仿宋_GB2312"/>
          <w:color w:val="000000"/>
          <w:sz w:val="32"/>
          <w:szCs w:val="32"/>
        </w:rPr>
        <w:t>11985</w:t>
      </w:r>
      <w:r w:rsidRPr="00881E85">
        <w:rPr>
          <w:rFonts w:ascii="仿宋_GB2312" w:eastAsia="仿宋_GB2312" w:hint="eastAsia"/>
          <w:color w:val="000000"/>
          <w:sz w:val="32"/>
          <w:szCs w:val="32"/>
        </w:rPr>
        <w:t>人，高技能人才</w:t>
      </w:r>
      <w:r w:rsidRPr="00881E85">
        <w:rPr>
          <w:rFonts w:ascii="仿宋_GB2312" w:eastAsia="仿宋_GB2312"/>
          <w:color w:val="000000"/>
          <w:sz w:val="32"/>
          <w:szCs w:val="32"/>
        </w:rPr>
        <w:t>5315</w:t>
      </w:r>
      <w:r w:rsidRPr="00881E85">
        <w:rPr>
          <w:rFonts w:ascii="仿宋_GB2312" w:eastAsia="仿宋_GB2312" w:hint="eastAsia"/>
          <w:color w:val="000000"/>
          <w:sz w:val="32"/>
          <w:szCs w:val="32"/>
        </w:rPr>
        <w:t>人，农村实用人才</w:t>
      </w:r>
      <w:r w:rsidRPr="00881E85">
        <w:rPr>
          <w:rFonts w:ascii="仿宋_GB2312" w:eastAsia="仿宋_GB2312"/>
          <w:color w:val="000000"/>
          <w:sz w:val="32"/>
          <w:szCs w:val="32"/>
        </w:rPr>
        <w:t>10942</w:t>
      </w:r>
      <w:r w:rsidRPr="00881E85">
        <w:rPr>
          <w:rFonts w:ascii="仿宋_GB2312" w:eastAsia="仿宋_GB2312" w:hint="eastAsia"/>
          <w:color w:val="000000"/>
          <w:sz w:val="32"/>
          <w:szCs w:val="32"/>
        </w:rPr>
        <w:t>人，社会工作人才</w:t>
      </w:r>
      <w:r w:rsidRPr="00881E85">
        <w:rPr>
          <w:rFonts w:ascii="仿宋_GB2312" w:eastAsia="仿宋_GB2312"/>
          <w:color w:val="000000"/>
          <w:sz w:val="32"/>
          <w:szCs w:val="32"/>
        </w:rPr>
        <w:t>264</w:t>
      </w:r>
      <w:r w:rsidRPr="00881E85">
        <w:rPr>
          <w:rFonts w:ascii="仿宋_GB2312" w:eastAsia="仿宋_GB2312" w:hint="eastAsia"/>
          <w:color w:val="000000"/>
          <w:sz w:val="32"/>
          <w:szCs w:val="32"/>
        </w:rPr>
        <w:t>人；专业技术人才的高、中、初级人才的比例优化为</w:t>
      </w:r>
      <w:r w:rsidRPr="00881E85">
        <w:rPr>
          <w:rFonts w:ascii="仿宋_GB2312" w:eastAsia="仿宋_GB2312"/>
          <w:color w:val="000000"/>
          <w:sz w:val="32"/>
          <w:szCs w:val="32"/>
        </w:rPr>
        <w:t>8.3%</w:t>
      </w:r>
      <w:r w:rsidRPr="00881E85">
        <w:rPr>
          <w:rFonts w:ascii="仿宋_GB2312" w:eastAsia="仿宋_GB2312" w:hint="eastAsia"/>
          <w:color w:val="000000"/>
          <w:sz w:val="32"/>
          <w:szCs w:val="32"/>
        </w:rPr>
        <w:t>、</w:t>
      </w:r>
      <w:r w:rsidRPr="00881E85">
        <w:rPr>
          <w:rFonts w:ascii="仿宋_GB2312" w:eastAsia="仿宋_GB2312"/>
          <w:color w:val="000000"/>
          <w:sz w:val="32"/>
          <w:szCs w:val="32"/>
        </w:rPr>
        <w:t>37.6%</w:t>
      </w:r>
      <w:r w:rsidRPr="00881E85">
        <w:rPr>
          <w:rFonts w:ascii="仿宋_GB2312" w:eastAsia="仿宋_GB2312" w:hint="eastAsia"/>
          <w:color w:val="000000"/>
          <w:sz w:val="32"/>
          <w:szCs w:val="32"/>
        </w:rPr>
        <w:t>、</w:t>
      </w:r>
      <w:r w:rsidRPr="00881E85">
        <w:rPr>
          <w:rFonts w:ascii="仿宋_GB2312" w:eastAsia="仿宋_GB2312"/>
          <w:color w:val="000000"/>
          <w:sz w:val="32"/>
          <w:szCs w:val="32"/>
        </w:rPr>
        <w:t>54.1%</w:t>
      </w:r>
      <w:r w:rsidRPr="00881E85">
        <w:rPr>
          <w:rFonts w:ascii="仿宋_GB2312" w:eastAsia="仿宋_GB2312" w:hint="eastAsia"/>
          <w:color w:val="000000"/>
          <w:sz w:val="32"/>
          <w:szCs w:val="32"/>
        </w:rPr>
        <w:t>，高层次人才共</w:t>
      </w:r>
      <w:r w:rsidRPr="00881E85">
        <w:rPr>
          <w:rFonts w:ascii="仿宋_GB2312" w:eastAsia="仿宋_GB2312"/>
          <w:color w:val="000000"/>
          <w:sz w:val="32"/>
          <w:szCs w:val="32"/>
        </w:rPr>
        <w:t>1016</w:t>
      </w:r>
      <w:r w:rsidRPr="00881E85">
        <w:rPr>
          <w:rFonts w:ascii="仿宋_GB2312" w:eastAsia="仿宋_GB2312" w:hint="eastAsia"/>
          <w:color w:val="000000"/>
          <w:sz w:val="32"/>
          <w:szCs w:val="32"/>
        </w:rPr>
        <w:t>人，比</w:t>
      </w:r>
      <w:r w:rsidRPr="00881E85">
        <w:rPr>
          <w:rFonts w:ascii="仿宋_GB2312" w:eastAsia="仿宋_GB2312"/>
          <w:color w:val="000000"/>
          <w:sz w:val="32"/>
          <w:szCs w:val="32"/>
        </w:rPr>
        <w:t>2010</w:t>
      </w:r>
      <w:r w:rsidRPr="00881E85">
        <w:rPr>
          <w:rFonts w:ascii="仿宋_GB2312" w:eastAsia="仿宋_GB2312" w:hint="eastAsia"/>
          <w:color w:val="000000"/>
          <w:sz w:val="32"/>
          <w:szCs w:val="32"/>
        </w:rPr>
        <w:t>年增加</w:t>
      </w:r>
      <w:r w:rsidRPr="00881E85">
        <w:rPr>
          <w:rFonts w:ascii="仿宋_GB2312" w:eastAsia="仿宋_GB2312"/>
          <w:color w:val="000000"/>
          <w:sz w:val="32"/>
          <w:szCs w:val="32"/>
        </w:rPr>
        <w:t>326</w:t>
      </w:r>
      <w:r w:rsidRPr="00881E85">
        <w:rPr>
          <w:rFonts w:ascii="仿宋_GB2312" w:eastAsia="仿宋_GB2312" w:hint="eastAsia"/>
          <w:color w:val="000000"/>
          <w:sz w:val="32"/>
          <w:szCs w:val="32"/>
        </w:rPr>
        <w:t>人，“人才小高地”建设初见成效。</w:t>
      </w:r>
    </w:p>
    <w:p w:rsidR="00E61A21" w:rsidRPr="00881E85" w:rsidRDefault="00E61A21" w:rsidP="00DF399B">
      <w:pPr>
        <w:spacing w:line="620" w:lineRule="exact"/>
        <w:ind w:firstLineChars="200" w:firstLine="643"/>
        <w:jc w:val="left"/>
        <w:rPr>
          <w:rFonts w:ascii="仿宋_GB2312" w:eastAsia="仿宋_GB2312" w:hAnsi="仿宋_GB2312" w:cs="仿宋_GB2312"/>
          <w:b/>
          <w:color w:val="000000"/>
          <w:sz w:val="32"/>
          <w:szCs w:val="32"/>
        </w:rPr>
      </w:pPr>
      <w:r w:rsidRPr="00881E85">
        <w:rPr>
          <w:rFonts w:ascii="仿宋_GB2312" w:eastAsia="仿宋_GB2312" w:hAnsi="仿宋_GB2312" w:cs="仿宋_GB2312"/>
          <w:b/>
          <w:color w:val="000000"/>
          <w:sz w:val="32"/>
          <w:szCs w:val="32"/>
        </w:rPr>
        <w:t>3</w:t>
      </w:r>
      <w:r w:rsidRPr="00881E85">
        <w:rPr>
          <w:rFonts w:ascii="仿宋_GB2312" w:eastAsia="仿宋_GB2312" w:hAnsi="仿宋_GB2312" w:cs="仿宋_GB2312" w:hint="eastAsia"/>
          <w:b/>
          <w:color w:val="000000"/>
          <w:sz w:val="32"/>
          <w:szCs w:val="32"/>
        </w:rPr>
        <w:t>．创新平台载体，人才作用不断发挥</w:t>
      </w:r>
    </w:p>
    <w:p w:rsidR="00E61A21" w:rsidRPr="00881E85" w:rsidRDefault="00E61A21" w:rsidP="00DF399B">
      <w:pPr>
        <w:spacing w:line="620" w:lineRule="exact"/>
        <w:ind w:firstLineChars="200" w:firstLine="640"/>
        <w:rPr>
          <w:rFonts w:ascii="仿宋_GB2312" w:eastAsia="仿宋_GB2312"/>
          <w:color w:val="000000"/>
          <w:sz w:val="32"/>
          <w:szCs w:val="32"/>
        </w:rPr>
      </w:pPr>
      <w:r w:rsidRPr="00881E85">
        <w:rPr>
          <w:rFonts w:ascii="仿宋_GB2312" w:eastAsia="仿宋_GB2312" w:hint="eastAsia"/>
          <w:color w:val="000000"/>
          <w:sz w:val="32"/>
          <w:szCs w:val="32"/>
        </w:rPr>
        <w:t>成立县科技创新服务中心，引导企业加强研发机构建设，招才引智平台不断拓宽，截至</w:t>
      </w:r>
      <w:r w:rsidRPr="00881E85">
        <w:rPr>
          <w:rFonts w:ascii="仿宋_GB2312" w:eastAsia="仿宋_GB2312"/>
          <w:color w:val="000000"/>
          <w:sz w:val="32"/>
          <w:szCs w:val="32"/>
        </w:rPr>
        <w:t>2015</w:t>
      </w:r>
      <w:r w:rsidRPr="00881E85">
        <w:rPr>
          <w:rFonts w:ascii="仿宋_GB2312" w:eastAsia="仿宋_GB2312" w:hint="eastAsia"/>
          <w:color w:val="000000"/>
          <w:sz w:val="32"/>
          <w:szCs w:val="32"/>
        </w:rPr>
        <w:t>年，全县拥有省级重点企业研究院</w:t>
      </w:r>
      <w:r w:rsidRPr="00881E85">
        <w:rPr>
          <w:rFonts w:ascii="仿宋_GB2312" w:eastAsia="仿宋_GB2312"/>
          <w:color w:val="000000"/>
          <w:sz w:val="32"/>
          <w:szCs w:val="32"/>
        </w:rPr>
        <w:t>1</w:t>
      </w:r>
      <w:r w:rsidRPr="00881E85">
        <w:rPr>
          <w:rFonts w:ascii="仿宋_GB2312" w:eastAsia="仿宋_GB2312" w:hint="eastAsia"/>
          <w:sz w:val="32"/>
          <w:szCs w:val="32"/>
        </w:rPr>
        <w:t>家、省级企业研究院</w:t>
      </w:r>
      <w:r w:rsidRPr="00881E85">
        <w:rPr>
          <w:rFonts w:ascii="仿宋_GB2312" w:eastAsia="仿宋_GB2312"/>
          <w:sz w:val="32"/>
          <w:szCs w:val="32"/>
        </w:rPr>
        <w:t>3</w:t>
      </w:r>
      <w:r w:rsidRPr="00881E85">
        <w:rPr>
          <w:rFonts w:ascii="仿宋_GB2312" w:eastAsia="仿宋_GB2312" w:hint="eastAsia"/>
          <w:sz w:val="32"/>
          <w:szCs w:val="32"/>
        </w:rPr>
        <w:t>家、院士专家工作站</w:t>
      </w:r>
      <w:r w:rsidRPr="00881E85">
        <w:rPr>
          <w:rFonts w:ascii="仿宋_GB2312" w:eastAsia="仿宋_GB2312"/>
          <w:sz w:val="32"/>
          <w:szCs w:val="32"/>
        </w:rPr>
        <w:t>1</w:t>
      </w:r>
      <w:r w:rsidRPr="00881E85">
        <w:rPr>
          <w:rFonts w:ascii="仿宋_GB2312" w:eastAsia="仿宋_GB2312" w:hint="eastAsia"/>
          <w:sz w:val="32"/>
          <w:szCs w:val="32"/>
        </w:rPr>
        <w:t>个、省级高新技术企业研发中心</w:t>
      </w:r>
      <w:r w:rsidRPr="00881E85">
        <w:rPr>
          <w:rFonts w:ascii="仿宋_GB2312" w:eastAsia="仿宋_GB2312"/>
          <w:sz w:val="32"/>
          <w:szCs w:val="32"/>
        </w:rPr>
        <w:t>5</w:t>
      </w:r>
      <w:r w:rsidRPr="00881E85">
        <w:rPr>
          <w:rFonts w:ascii="仿宋_GB2312" w:eastAsia="仿宋_GB2312" w:hint="eastAsia"/>
          <w:sz w:val="32"/>
          <w:szCs w:val="32"/>
        </w:rPr>
        <w:t>家、省级企业技术中心</w:t>
      </w:r>
      <w:r w:rsidRPr="00881E85">
        <w:rPr>
          <w:rFonts w:ascii="仿宋_GB2312" w:eastAsia="仿宋_GB2312"/>
          <w:sz w:val="32"/>
          <w:szCs w:val="32"/>
        </w:rPr>
        <w:t>3</w:t>
      </w:r>
      <w:r w:rsidRPr="00881E85">
        <w:rPr>
          <w:rFonts w:ascii="仿宋_GB2312" w:eastAsia="仿宋_GB2312" w:hint="eastAsia"/>
          <w:sz w:val="32"/>
          <w:szCs w:val="32"/>
        </w:rPr>
        <w:t>家、省级技能大师工作室</w:t>
      </w:r>
      <w:r w:rsidRPr="00881E85">
        <w:rPr>
          <w:rFonts w:ascii="仿宋_GB2312" w:eastAsia="仿宋_GB2312"/>
          <w:sz w:val="32"/>
          <w:szCs w:val="32"/>
        </w:rPr>
        <w:t>2</w:t>
      </w:r>
      <w:r w:rsidRPr="00881E85">
        <w:rPr>
          <w:rFonts w:ascii="仿宋_GB2312" w:eastAsia="仿宋_GB2312" w:hint="eastAsia"/>
          <w:sz w:val="32"/>
          <w:szCs w:val="32"/>
        </w:rPr>
        <w:t>个。建立“校地”合作长效机制，与中国美术学院、浙江工业大学、浙江工商大学、丽水学院等高校签订战略合作协议，组建了石雕产业化研究院、“世界青田人研究中心”等。推进人才工作信息</w:t>
      </w:r>
      <w:r w:rsidRPr="00881E85">
        <w:rPr>
          <w:rFonts w:ascii="仿宋_GB2312" w:eastAsia="仿宋_GB2312" w:hint="eastAsia"/>
          <w:color w:val="000000"/>
          <w:sz w:val="32"/>
          <w:szCs w:val="32"/>
        </w:rPr>
        <w:t>化，初步建立了县人才信息数据库、科技专家库和大学生村官信息库等。编制紧缺急需人才引进目录，发布外专引智需求，发挥海外人才驿站、世界青田人大会、各类招聘会等平台作用，引导海外乡贤和高层次人才来青创业创新，成功引进省“千人计划”</w:t>
      </w:r>
      <w:r w:rsidRPr="00881E85">
        <w:rPr>
          <w:rFonts w:ascii="仿宋_GB2312" w:eastAsia="仿宋_GB2312"/>
          <w:color w:val="000000"/>
          <w:sz w:val="32"/>
          <w:szCs w:val="32"/>
        </w:rPr>
        <w:t>2</w:t>
      </w:r>
      <w:r w:rsidRPr="00881E85">
        <w:rPr>
          <w:rFonts w:ascii="仿宋_GB2312" w:eastAsia="仿宋_GB2312" w:hint="eastAsia"/>
          <w:color w:val="000000"/>
          <w:sz w:val="32"/>
          <w:szCs w:val="32"/>
        </w:rPr>
        <w:t>人、市“绿谷精英”</w:t>
      </w:r>
      <w:r w:rsidRPr="00881E85">
        <w:rPr>
          <w:rFonts w:ascii="仿宋_GB2312" w:eastAsia="仿宋_GB2312"/>
          <w:color w:val="000000"/>
          <w:sz w:val="32"/>
          <w:szCs w:val="32"/>
        </w:rPr>
        <w:t>8</w:t>
      </w:r>
      <w:r w:rsidRPr="00881E85">
        <w:rPr>
          <w:rFonts w:ascii="仿宋_GB2312" w:eastAsia="仿宋_GB2312" w:hint="eastAsia"/>
          <w:color w:val="000000"/>
          <w:sz w:val="32"/>
          <w:szCs w:val="32"/>
        </w:rPr>
        <w:t>人，仅</w:t>
      </w:r>
      <w:r w:rsidRPr="00881E85">
        <w:rPr>
          <w:rFonts w:ascii="仿宋_GB2312" w:eastAsia="仿宋_GB2312"/>
          <w:color w:val="000000"/>
          <w:sz w:val="32"/>
          <w:szCs w:val="32"/>
        </w:rPr>
        <w:t>2015</w:t>
      </w:r>
      <w:r w:rsidRPr="00881E85">
        <w:rPr>
          <w:rFonts w:ascii="仿宋_GB2312" w:eastAsia="仿宋_GB2312" w:hint="eastAsia"/>
          <w:color w:val="000000"/>
          <w:sz w:val="32"/>
          <w:szCs w:val="32"/>
        </w:rPr>
        <w:t>年引进紧缺急需人才</w:t>
      </w:r>
      <w:r w:rsidRPr="00881E85">
        <w:rPr>
          <w:rFonts w:ascii="仿宋_GB2312" w:eastAsia="仿宋_GB2312"/>
          <w:color w:val="000000"/>
          <w:sz w:val="32"/>
          <w:szCs w:val="32"/>
        </w:rPr>
        <w:t>346</w:t>
      </w:r>
      <w:r w:rsidRPr="00881E85">
        <w:rPr>
          <w:rFonts w:ascii="仿宋_GB2312" w:eastAsia="仿宋_GB2312" w:hint="eastAsia"/>
          <w:color w:val="000000"/>
          <w:sz w:val="32"/>
          <w:szCs w:val="32"/>
        </w:rPr>
        <w:t>人。</w:t>
      </w:r>
    </w:p>
    <w:p w:rsidR="00E61A21" w:rsidRPr="00881E85" w:rsidRDefault="00E61A21" w:rsidP="00881E85">
      <w:pPr>
        <w:spacing w:line="620" w:lineRule="exact"/>
        <w:rPr>
          <w:rFonts w:ascii="仿宋_GB2312" w:eastAsia="仿宋_GB2312" w:hAnsi="仿宋_GB2312" w:cs="仿宋_GB2312"/>
          <w:b/>
          <w:color w:val="000000"/>
          <w:sz w:val="32"/>
          <w:szCs w:val="32"/>
        </w:rPr>
      </w:pPr>
      <w:r w:rsidRPr="00881E85">
        <w:rPr>
          <w:rFonts w:ascii="仿宋_GB2312" w:eastAsia="仿宋_GB2312" w:hAnsi="仿宋_GB2312" w:cs="仿宋_GB2312"/>
          <w:b/>
          <w:color w:val="000000"/>
          <w:sz w:val="32"/>
          <w:szCs w:val="32"/>
        </w:rPr>
        <w:t xml:space="preserve">    4</w:t>
      </w:r>
      <w:r w:rsidRPr="00881E85">
        <w:rPr>
          <w:rFonts w:ascii="仿宋_GB2312" w:eastAsia="仿宋_GB2312" w:hAnsi="仿宋_GB2312" w:cs="仿宋_GB2312" w:hint="eastAsia"/>
          <w:b/>
          <w:color w:val="000000"/>
          <w:sz w:val="32"/>
          <w:szCs w:val="32"/>
        </w:rPr>
        <w:t>．优化发展环境，营造良好聚才氛围</w:t>
      </w:r>
    </w:p>
    <w:p w:rsidR="00E61A21" w:rsidRPr="00881E85" w:rsidRDefault="00E61A21" w:rsidP="00C96DEF">
      <w:pPr>
        <w:spacing w:line="620" w:lineRule="exact"/>
        <w:ind w:firstLineChars="200" w:firstLine="640"/>
        <w:rPr>
          <w:rFonts w:ascii="仿宋_GB2312" w:eastAsia="仿宋_GB2312"/>
          <w:sz w:val="32"/>
          <w:szCs w:val="32"/>
        </w:rPr>
      </w:pPr>
      <w:r w:rsidRPr="00881E85">
        <w:rPr>
          <w:rFonts w:ascii="仿宋_GB2312" w:eastAsia="仿宋_GB2312" w:hint="eastAsia"/>
          <w:sz w:val="32"/>
          <w:szCs w:val="32"/>
        </w:rPr>
        <w:t>开展“侨乡精英”、“学科首席带头人”、“侨乡农师”、“优秀科技特派员”等优秀人才评选活动。落实高层次专业技术人才政府津贴制度和优先购买政策性住房等政策，改善了优秀人才待遇和居住条件。落实党政领导联系优秀人才制度，通过走访慰问、召开座谈会、发放贺卡等形式，主动为各类人才排忧解难。借助广播电视、报刊、网站、微信等媒体，大力宣传我县的人才政策，引导形成重才、爱才、护才社情。</w:t>
      </w:r>
      <w:bookmarkStart w:id="3" w:name="_Toc469611598"/>
    </w:p>
    <w:p w:rsidR="00E61A21" w:rsidRPr="00881E85" w:rsidRDefault="00E61A21" w:rsidP="00DF399B">
      <w:pPr>
        <w:spacing w:line="620" w:lineRule="exact"/>
        <w:ind w:firstLineChars="200" w:firstLine="640"/>
        <w:rPr>
          <w:rFonts w:ascii="黑体" w:eastAsia="黑体" w:hAnsi="楷体" w:cs="楷体"/>
          <w:sz w:val="32"/>
          <w:szCs w:val="32"/>
        </w:rPr>
      </w:pPr>
      <w:r w:rsidRPr="00881E85">
        <w:rPr>
          <w:rFonts w:ascii="黑体" w:eastAsia="黑体" w:hAnsi="楷体" w:cs="楷体" w:hint="eastAsia"/>
          <w:sz w:val="32"/>
          <w:szCs w:val="32"/>
        </w:rPr>
        <w:t>（二）面临形势</w:t>
      </w:r>
      <w:bookmarkEnd w:id="3"/>
    </w:p>
    <w:p w:rsidR="00E61A21" w:rsidRPr="00881E85" w:rsidRDefault="00E61A21" w:rsidP="00DF399B">
      <w:pPr>
        <w:spacing w:line="620" w:lineRule="exact"/>
        <w:ind w:firstLineChars="200" w:firstLine="640"/>
        <w:rPr>
          <w:rFonts w:ascii="仿宋_GB2312" w:eastAsia="仿宋_GB2312"/>
          <w:color w:val="000000"/>
          <w:sz w:val="32"/>
          <w:szCs w:val="32"/>
        </w:rPr>
      </w:pPr>
      <w:r w:rsidRPr="00881E85">
        <w:rPr>
          <w:rFonts w:ascii="仿宋_GB2312" w:eastAsia="仿宋_GB2312" w:hint="eastAsia"/>
          <w:color w:val="000000"/>
          <w:sz w:val="32"/>
          <w:szCs w:val="32"/>
        </w:rPr>
        <w:t>“十三五”时期，是青田高水平全面建成小康社会的决胜期、开创“两美”青田新局面的关键期。大力推动人才发展，抓紧培养集聚各方面优秀人才，比以往任何时候都更加迫切。</w:t>
      </w:r>
    </w:p>
    <w:p w:rsidR="00E61A21" w:rsidRPr="00881E85" w:rsidRDefault="00E61A21" w:rsidP="00DF399B">
      <w:pPr>
        <w:spacing w:line="620" w:lineRule="exact"/>
        <w:ind w:firstLineChars="200" w:firstLine="640"/>
        <w:rPr>
          <w:rFonts w:ascii="仿宋_GB2312" w:eastAsia="仿宋_GB2312"/>
          <w:color w:val="000000"/>
          <w:sz w:val="32"/>
          <w:szCs w:val="32"/>
        </w:rPr>
      </w:pPr>
      <w:r w:rsidRPr="00881E85">
        <w:rPr>
          <w:rFonts w:ascii="仿宋_GB2312" w:eastAsia="仿宋_GB2312" w:hint="eastAsia"/>
          <w:color w:val="000000"/>
          <w:sz w:val="32"/>
          <w:szCs w:val="32"/>
        </w:rPr>
        <w:t>从贯彻落实中央和省委要求看，中央历来高度重视人才工作，出台关于深化人才发展体制机制改革的专门意见。特别是党的十八大之后，习近平总书记就人才工作先后发表系列重要讲话，提出了许多新观点新论断新要求。省委站在战略和全局的高度，制定出台浙江“人才新政”，实施“五位一体”人才生态优化工程，着力打造人才生态最优省份，人才发展的供给侧结构性改革力度空前。</w:t>
      </w:r>
    </w:p>
    <w:p w:rsidR="00E61A21" w:rsidRPr="00881E85" w:rsidRDefault="00E61A21" w:rsidP="00DF399B">
      <w:pPr>
        <w:spacing w:line="620" w:lineRule="exact"/>
        <w:ind w:firstLineChars="200" w:firstLine="640"/>
        <w:rPr>
          <w:rFonts w:ascii="仿宋_GB2312" w:eastAsia="仿宋_GB2312" w:hAnsi="Times New Roman"/>
          <w:sz w:val="32"/>
          <w:szCs w:val="32"/>
        </w:rPr>
      </w:pPr>
      <w:r w:rsidRPr="00881E85">
        <w:rPr>
          <w:rFonts w:ascii="仿宋_GB2312" w:eastAsia="仿宋_GB2312" w:hAnsi="Times New Roman" w:hint="eastAsia"/>
          <w:sz w:val="32"/>
          <w:szCs w:val="32"/>
        </w:rPr>
        <w:t>从市级和县级层面的现实需要看，丽水把“绿水青山就是金山银山”作为全市根本指导思想，对青田今后的发展提出了更高要求。我县人均生产总值将突破</w:t>
      </w:r>
      <w:r w:rsidRPr="00881E85">
        <w:rPr>
          <w:rFonts w:ascii="仿宋_GB2312" w:eastAsia="仿宋_GB2312" w:hAnsi="Times New Roman"/>
          <w:sz w:val="32"/>
          <w:szCs w:val="32"/>
        </w:rPr>
        <w:t>1</w:t>
      </w:r>
      <w:r w:rsidRPr="00881E85">
        <w:rPr>
          <w:rFonts w:ascii="仿宋_GB2312" w:eastAsia="仿宋_GB2312" w:hAnsi="Times New Roman" w:hint="eastAsia"/>
          <w:sz w:val="32"/>
          <w:szCs w:val="32"/>
        </w:rPr>
        <w:t>万美元，经济进入新旧动力转换期，社会进入治理结构转型期，在百亿产业、特色小镇、教育、文化、卫生、社工等领域，对“两山”转换型、复合型人才需求尤为迫切。</w:t>
      </w:r>
    </w:p>
    <w:p w:rsidR="00E61A21" w:rsidRPr="00881E85" w:rsidRDefault="00E61A21" w:rsidP="00C96DEF">
      <w:pPr>
        <w:spacing w:line="620" w:lineRule="exact"/>
        <w:ind w:firstLineChars="200" w:firstLine="640"/>
        <w:rPr>
          <w:rFonts w:ascii="仿宋_GB2312" w:eastAsia="仿宋_GB2312"/>
          <w:sz w:val="32"/>
          <w:szCs w:val="32"/>
        </w:rPr>
      </w:pPr>
      <w:r w:rsidRPr="00881E85">
        <w:rPr>
          <w:rFonts w:ascii="仿宋_GB2312" w:eastAsia="仿宋_GB2312" w:hAnsi="Times New Roman" w:hint="eastAsia"/>
          <w:sz w:val="32"/>
          <w:szCs w:val="32"/>
        </w:rPr>
        <w:t>从人才发展的实际情况来看，</w:t>
      </w:r>
      <w:r w:rsidRPr="00881E85">
        <w:rPr>
          <w:rFonts w:ascii="仿宋_GB2312" w:eastAsia="仿宋_GB2312" w:hint="eastAsia"/>
          <w:sz w:val="32"/>
          <w:szCs w:val="32"/>
        </w:rPr>
        <w:t>尽管青田在人才政策创新、人才工程实施、人才培养引进、服务体系建设等方面积累了有益经验，但仍存在不少短板：人才优先发展理念还没有完全确立，少数单位对人才工作主动性意识不强；人才配置结构不尽合理，高层次人才比重仍旧偏低，新兴领域、新兴产业人才总量不足，社工人才紧缺且层次低；引才渠道单一，引才周期较长，引才成本偏高；人才资源开发精准度不够，培训缺乏针对性、专业性和实用性；人才发展在城乡间还不够均衡，人才流失较严重；人才创业创新环境有待进一步改善等。这些问题都需要在“十三五”期间创新突破，推动人才工作迈上新台阶。</w:t>
      </w:r>
      <w:bookmarkStart w:id="4" w:name="_Toc469611599"/>
    </w:p>
    <w:p w:rsidR="00E61A21" w:rsidRPr="00881E85" w:rsidRDefault="00E61A21" w:rsidP="00C96DEF">
      <w:pPr>
        <w:spacing w:line="620" w:lineRule="exact"/>
        <w:ind w:firstLineChars="200" w:firstLine="640"/>
        <w:rPr>
          <w:rFonts w:ascii="黑体" w:eastAsia="黑体"/>
          <w:sz w:val="32"/>
          <w:szCs w:val="32"/>
        </w:rPr>
      </w:pPr>
      <w:r w:rsidRPr="00881E85">
        <w:rPr>
          <w:rFonts w:ascii="黑体" w:eastAsia="黑体" w:hint="eastAsia"/>
          <w:sz w:val="32"/>
          <w:szCs w:val="32"/>
        </w:rPr>
        <w:t>二、指导思想、基本原则和发展目标</w:t>
      </w:r>
      <w:bookmarkStart w:id="5" w:name="_Toc469611600"/>
      <w:bookmarkEnd w:id="4"/>
    </w:p>
    <w:p w:rsidR="00E61A21" w:rsidRPr="00881E85" w:rsidRDefault="00E61A21" w:rsidP="00DF399B">
      <w:pPr>
        <w:spacing w:line="620" w:lineRule="exact"/>
        <w:ind w:firstLineChars="200" w:firstLine="640"/>
        <w:rPr>
          <w:rFonts w:ascii="楷体_GB2312" w:eastAsia="楷体_GB2312" w:hAnsi="楷体" w:cs="楷体"/>
          <w:sz w:val="32"/>
          <w:szCs w:val="32"/>
        </w:rPr>
      </w:pPr>
      <w:r w:rsidRPr="00881E85">
        <w:rPr>
          <w:rFonts w:ascii="楷体_GB2312" w:eastAsia="楷体_GB2312" w:hAnsi="楷体" w:cs="楷体" w:hint="eastAsia"/>
          <w:sz w:val="32"/>
          <w:szCs w:val="32"/>
        </w:rPr>
        <w:t>（一）指导思想</w:t>
      </w:r>
      <w:bookmarkEnd w:id="5"/>
      <w:r w:rsidRPr="00881E85">
        <w:rPr>
          <w:rFonts w:ascii="楷体_GB2312" w:eastAsia="楷体_GB2312" w:hAnsi="楷体" w:cs="楷体"/>
          <w:sz w:val="32"/>
          <w:szCs w:val="32"/>
        </w:rPr>
        <w:tab/>
      </w:r>
    </w:p>
    <w:p w:rsidR="00E61A21" w:rsidRPr="00881E85" w:rsidRDefault="00E61A21" w:rsidP="00C96DEF">
      <w:pPr>
        <w:spacing w:line="620" w:lineRule="exact"/>
        <w:ind w:firstLineChars="200" w:firstLine="640"/>
        <w:rPr>
          <w:rFonts w:ascii="仿宋_GB2312" w:eastAsia="仿宋_GB2312"/>
          <w:sz w:val="32"/>
          <w:szCs w:val="32"/>
        </w:rPr>
      </w:pPr>
      <w:r w:rsidRPr="00881E85">
        <w:rPr>
          <w:rFonts w:ascii="仿宋_GB2312" w:eastAsia="仿宋_GB2312" w:hint="eastAsia"/>
          <w:sz w:val="32"/>
          <w:szCs w:val="32"/>
        </w:rPr>
        <w:t>高举中国特色社会主义伟大旗帜，深入贯彻习近平总书记系列重要讲话精神，以“四个全面”战略布局为统领，以“五大发展理念”为引领，牢固树立科学人才观，围绕建设“美丽青田、幸福侨乡”战略目标，坚持聚天下英才而用之、坚持精准性与实用性相结合，以人才资源集聚、人才作用发挥、人才平台培育、人才体制创新、人才服务优化“五位一体”人才发展体系为抓手，以实施重大人才工程为重点，全面提升新常态下人才要素供给水平，为高水平全面建成小康社会、开创“两美”青田新局面提供有力的人才智力支持。</w:t>
      </w:r>
      <w:bookmarkStart w:id="6" w:name="_Toc469611601"/>
    </w:p>
    <w:p w:rsidR="00E61A21" w:rsidRPr="00881E85" w:rsidRDefault="00E61A21" w:rsidP="00DF399B">
      <w:pPr>
        <w:spacing w:line="620" w:lineRule="exact"/>
        <w:ind w:firstLineChars="200" w:firstLine="640"/>
        <w:rPr>
          <w:rFonts w:ascii="楷体_GB2312" w:eastAsia="楷体_GB2312" w:hAnsi="楷体" w:cs="楷体"/>
          <w:color w:val="000000"/>
          <w:sz w:val="32"/>
          <w:szCs w:val="32"/>
        </w:rPr>
      </w:pPr>
      <w:r w:rsidRPr="00881E85">
        <w:rPr>
          <w:rFonts w:ascii="楷体_GB2312" w:eastAsia="楷体_GB2312" w:hAnsi="楷体" w:cs="楷体" w:hint="eastAsia"/>
          <w:color w:val="000000"/>
          <w:sz w:val="32"/>
          <w:szCs w:val="32"/>
        </w:rPr>
        <w:t>（二）基本原则</w:t>
      </w:r>
      <w:bookmarkEnd w:id="6"/>
    </w:p>
    <w:p w:rsidR="00E61A21" w:rsidRPr="00881E85" w:rsidRDefault="00E61A21" w:rsidP="00DF399B">
      <w:pPr>
        <w:spacing w:line="620" w:lineRule="exact"/>
        <w:ind w:firstLineChars="200" w:firstLine="643"/>
        <w:rPr>
          <w:rFonts w:ascii="仿宋_GB2312" w:eastAsia="仿宋_GB2312"/>
          <w:color w:val="000000"/>
          <w:sz w:val="32"/>
          <w:szCs w:val="32"/>
        </w:rPr>
      </w:pPr>
      <w:r w:rsidRPr="00881E85">
        <w:rPr>
          <w:rFonts w:ascii="仿宋_GB2312" w:eastAsia="仿宋_GB2312" w:hAnsi="仿宋_GB2312" w:cs="仿宋_GB2312"/>
          <w:b/>
          <w:bCs/>
          <w:color w:val="000000"/>
          <w:sz w:val="32"/>
          <w:szCs w:val="32"/>
        </w:rPr>
        <w:t>——</w:t>
      </w:r>
      <w:r w:rsidRPr="00881E85">
        <w:rPr>
          <w:rFonts w:ascii="仿宋_GB2312" w:eastAsia="仿宋_GB2312" w:hAnsi="仿宋_GB2312" w:cs="仿宋_GB2312" w:hint="eastAsia"/>
          <w:b/>
          <w:bCs/>
          <w:color w:val="000000"/>
          <w:sz w:val="32"/>
          <w:szCs w:val="32"/>
        </w:rPr>
        <w:t>党管人才，统筹协调。</w:t>
      </w:r>
      <w:r w:rsidRPr="00881E85">
        <w:rPr>
          <w:rFonts w:ascii="仿宋_GB2312" w:eastAsia="仿宋_GB2312" w:hint="eastAsia"/>
          <w:color w:val="000000"/>
          <w:sz w:val="32"/>
          <w:szCs w:val="32"/>
        </w:rPr>
        <w:t>充分发挥党的思想政治优势、组织优势和密切联系群众优势，健全党管人才领导体制和工作格局，创新党管人才方式方法，通过管宏观、管政策、管协调、管服务，整合各方力量，形成推进人才工作和人才队伍建设的整体合力。</w:t>
      </w:r>
    </w:p>
    <w:p w:rsidR="00E61A21" w:rsidRPr="00881E85" w:rsidRDefault="00E61A21" w:rsidP="00DF399B">
      <w:pPr>
        <w:spacing w:line="620" w:lineRule="exact"/>
        <w:ind w:firstLineChars="200" w:firstLine="643"/>
        <w:rPr>
          <w:rFonts w:ascii="仿宋_GB2312" w:eastAsia="仿宋_GB2312"/>
          <w:color w:val="000000"/>
          <w:sz w:val="32"/>
          <w:szCs w:val="32"/>
        </w:rPr>
      </w:pPr>
      <w:r w:rsidRPr="00881E85">
        <w:rPr>
          <w:rFonts w:ascii="仿宋_GB2312" w:eastAsia="仿宋_GB2312" w:hAnsi="仿宋_GB2312" w:cs="仿宋_GB2312"/>
          <w:b/>
          <w:bCs/>
          <w:color w:val="000000"/>
          <w:sz w:val="32"/>
          <w:szCs w:val="32"/>
        </w:rPr>
        <w:t>——</w:t>
      </w:r>
      <w:r w:rsidRPr="00881E85">
        <w:rPr>
          <w:rFonts w:ascii="仿宋_GB2312" w:eastAsia="仿宋_GB2312" w:hAnsi="仿宋_GB2312" w:cs="仿宋_GB2312" w:hint="eastAsia"/>
          <w:b/>
          <w:bCs/>
          <w:color w:val="000000"/>
          <w:sz w:val="32"/>
          <w:szCs w:val="32"/>
        </w:rPr>
        <w:t>市场导向，以用为本。</w:t>
      </w:r>
      <w:r w:rsidRPr="00881E85">
        <w:rPr>
          <w:rFonts w:ascii="仿宋_GB2312" w:eastAsia="仿宋_GB2312" w:hint="eastAsia"/>
          <w:color w:val="000000"/>
          <w:sz w:val="32"/>
          <w:szCs w:val="32"/>
        </w:rPr>
        <w:t>充分重视和发挥市场在人才资源配置中的决定性作用</w:t>
      </w:r>
      <w:r w:rsidRPr="00881E85">
        <w:rPr>
          <w:rFonts w:ascii="仿宋_GB2312" w:eastAsia="仿宋_GB2312"/>
          <w:color w:val="000000"/>
          <w:sz w:val="32"/>
          <w:szCs w:val="32"/>
        </w:rPr>
        <w:t>,</w:t>
      </w:r>
      <w:r w:rsidRPr="00881E85">
        <w:rPr>
          <w:rFonts w:ascii="仿宋_GB2312" w:eastAsia="仿宋_GB2312" w:hint="eastAsia"/>
          <w:color w:val="000000"/>
          <w:sz w:val="32"/>
          <w:szCs w:val="32"/>
        </w:rPr>
        <w:t>保障和落实用人主体自主权</w:t>
      </w:r>
      <w:r w:rsidRPr="00881E85">
        <w:rPr>
          <w:rFonts w:ascii="仿宋_GB2312" w:eastAsia="仿宋_GB2312"/>
          <w:color w:val="000000"/>
          <w:sz w:val="32"/>
          <w:szCs w:val="32"/>
        </w:rPr>
        <w:t>,</w:t>
      </w:r>
      <w:r w:rsidRPr="00881E85">
        <w:rPr>
          <w:rFonts w:ascii="仿宋_GB2312" w:eastAsia="仿宋_GB2312" w:hint="eastAsia"/>
          <w:color w:val="000000"/>
          <w:sz w:val="32"/>
          <w:szCs w:val="32"/>
        </w:rPr>
        <w:t>健全人才评价、流动、激励机制</w:t>
      </w:r>
      <w:r w:rsidRPr="00881E85">
        <w:rPr>
          <w:rFonts w:ascii="仿宋_GB2312" w:eastAsia="仿宋_GB2312"/>
          <w:color w:val="000000"/>
          <w:sz w:val="32"/>
          <w:szCs w:val="32"/>
        </w:rPr>
        <w:t>,</w:t>
      </w:r>
      <w:r w:rsidRPr="00881E85">
        <w:rPr>
          <w:rFonts w:ascii="仿宋_GB2312" w:eastAsia="仿宋_GB2312" w:hint="eastAsia"/>
          <w:color w:val="000000"/>
          <w:sz w:val="32"/>
          <w:szCs w:val="32"/>
        </w:rPr>
        <w:t>提供创新创业和实现价值的机会与条件，做到人尽其才、才尽其用。</w:t>
      </w:r>
    </w:p>
    <w:p w:rsidR="00E61A21" w:rsidRPr="00881E85" w:rsidRDefault="00E61A21" w:rsidP="00DF399B">
      <w:pPr>
        <w:spacing w:line="620" w:lineRule="exact"/>
        <w:ind w:firstLineChars="200" w:firstLine="643"/>
        <w:rPr>
          <w:rFonts w:ascii="仿宋_GB2312" w:eastAsia="仿宋_GB2312"/>
          <w:color w:val="000000"/>
          <w:sz w:val="32"/>
          <w:szCs w:val="32"/>
        </w:rPr>
      </w:pPr>
      <w:r w:rsidRPr="00881E85">
        <w:rPr>
          <w:rFonts w:ascii="仿宋_GB2312" w:eastAsia="仿宋_GB2312" w:hAnsi="仿宋_GB2312" w:cs="仿宋_GB2312"/>
          <w:b/>
          <w:bCs/>
          <w:color w:val="000000"/>
          <w:sz w:val="32"/>
          <w:szCs w:val="32"/>
        </w:rPr>
        <w:t>——</w:t>
      </w:r>
      <w:r w:rsidRPr="00881E85">
        <w:rPr>
          <w:rFonts w:ascii="仿宋_GB2312" w:eastAsia="仿宋_GB2312" w:hAnsi="仿宋_GB2312" w:cs="仿宋_GB2312" w:hint="eastAsia"/>
          <w:b/>
          <w:bCs/>
          <w:color w:val="000000"/>
          <w:sz w:val="32"/>
          <w:szCs w:val="32"/>
        </w:rPr>
        <w:t>扩大开放，广纳英才。</w:t>
      </w:r>
      <w:r w:rsidRPr="00881E85">
        <w:rPr>
          <w:rFonts w:ascii="仿宋_GB2312" w:eastAsia="仿宋_GB2312" w:hint="eastAsia"/>
          <w:color w:val="000000"/>
          <w:sz w:val="32"/>
          <w:szCs w:val="32"/>
        </w:rPr>
        <w:t>建立更加开放、更加灵活的人才培养、吸引和使用机制</w:t>
      </w:r>
      <w:r w:rsidRPr="00881E85">
        <w:rPr>
          <w:rFonts w:ascii="仿宋_GB2312" w:eastAsia="仿宋_GB2312"/>
          <w:color w:val="000000"/>
          <w:sz w:val="32"/>
          <w:szCs w:val="32"/>
        </w:rPr>
        <w:t>,</w:t>
      </w:r>
      <w:r w:rsidRPr="00881E85">
        <w:rPr>
          <w:rFonts w:ascii="仿宋_GB2312" w:eastAsia="仿宋_GB2312" w:hint="eastAsia"/>
          <w:color w:val="000000"/>
          <w:sz w:val="32"/>
          <w:szCs w:val="32"/>
        </w:rPr>
        <w:t>不唯地域引进人才</w:t>
      </w:r>
      <w:r w:rsidRPr="00881E85">
        <w:rPr>
          <w:rFonts w:ascii="仿宋_GB2312" w:eastAsia="仿宋_GB2312"/>
          <w:color w:val="000000"/>
          <w:sz w:val="32"/>
          <w:szCs w:val="32"/>
        </w:rPr>
        <w:t>,</w:t>
      </w:r>
      <w:r w:rsidRPr="00881E85">
        <w:rPr>
          <w:rFonts w:ascii="仿宋_GB2312" w:eastAsia="仿宋_GB2312" w:hint="eastAsia"/>
          <w:color w:val="000000"/>
          <w:sz w:val="32"/>
          <w:szCs w:val="32"/>
        </w:rPr>
        <w:t>不求所有开发人才</w:t>
      </w:r>
      <w:r w:rsidRPr="00881E85">
        <w:rPr>
          <w:rFonts w:ascii="仿宋_GB2312" w:eastAsia="仿宋_GB2312"/>
          <w:color w:val="000000"/>
          <w:sz w:val="32"/>
          <w:szCs w:val="32"/>
        </w:rPr>
        <w:t>,</w:t>
      </w:r>
      <w:r w:rsidRPr="00881E85">
        <w:rPr>
          <w:rFonts w:ascii="仿宋_GB2312" w:eastAsia="仿宋_GB2312" w:hint="eastAsia"/>
          <w:color w:val="000000"/>
          <w:sz w:val="32"/>
          <w:szCs w:val="32"/>
        </w:rPr>
        <w:t>不拘一格用好人才</w:t>
      </w:r>
      <w:r w:rsidRPr="00881E85">
        <w:rPr>
          <w:rFonts w:ascii="仿宋_GB2312" w:eastAsia="仿宋_GB2312"/>
          <w:color w:val="000000"/>
          <w:sz w:val="32"/>
          <w:szCs w:val="32"/>
        </w:rPr>
        <w:t>,</w:t>
      </w:r>
      <w:r w:rsidRPr="00881E85">
        <w:rPr>
          <w:rFonts w:ascii="仿宋_GB2312" w:eastAsia="仿宋_GB2312" w:hint="eastAsia"/>
          <w:color w:val="000000"/>
          <w:sz w:val="32"/>
          <w:szCs w:val="32"/>
        </w:rPr>
        <w:t>确保人才引得进、留得住、流得动、用得好。</w:t>
      </w:r>
    </w:p>
    <w:p w:rsidR="00E61A21" w:rsidRPr="00881E85" w:rsidRDefault="00E61A21" w:rsidP="00C96DEF">
      <w:pPr>
        <w:spacing w:line="620" w:lineRule="exact"/>
        <w:ind w:firstLineChars="200" w:firstLine="643"/>
        <w:rPr>
          <w:rFonts w:ascii="仿宋_GB2312" w:eastAsia="仿宋_GB2312"/>
          <w:sz w:val="32"/>
          <w:szCs w:val="32"/>
        </w:rPr>
      </w:pPr>
      <w:r w:rsidRPr="00881E85">
        <w:rPr>
          <w:rFonts w:ascii="仿宋_GB2312" w:eastAsia="仿宋_GB2312" w:hAnsi="仿宋_GB2312" w:cs="仿宋_GB2312"/>
          <w:b/>
          <w:bCs/>
          <w:sz w:val="32"/>
          <w:szCs w:val="32"/>
        </w:rPr>
        <w:t>——</w:t>
      </w:r>
      <w:r w:rsidRPr="00881E85">
        <w:rPr>
          <w:rFonts w:ascii="仿宋_GB2312" w:eastAsia="仿宋_GB2312" w:hAnsi="仿宋_GB2312" w:cs="仿宋_GB2312" w:hint="eastAsia"/>
          <w:b/>
          <w:bCs/>
          <w:sz w:val="32"/>
          <w:szCs w:val="32"/>
        </w:rPr>
        <w:t>补齐短板，精准施策。</w:t>
      </w:r>
      <w:r w:rsidRPr="00881E85">
        <w:rPr>
          <w:rFonts w:ascii="仿宋_GB2312" w:eastAsia="仿宋_GB2312" w:hint="eastAsia"/>
          <w:sz w:val="32"/>
          <w:szCs w:val="32"/>
        </w:rPr>
        <w:t>从县域实际出发，坚持问题导向，有的放矢、分类施策、补齐短板，促进人才规模、质量和结构与经济社会发展相适应、相协调，实现人才发展与经济、政治、文化、社会和生态文明建设深度融合。</w:t>
      </w:r>
      <w:bookmarkStart w:id="7" w:name="_Toc469611602"/>
    </w:p>
    <w:p w:rsidR="00E61A21" w:rsidRPr="00881E85" w:rsidRDefault="00E61A21" w:rsidP="00DF399B">
      <w:pPr>
        <w:spacing w:line="620" w:lineRule="exact"/>
        <w:ind w:firstLineChars="200" w:firstLine="640"/>
        <w:rPr>
          <w:rFonts w:ascii="楷体_GB2312" w:eastAsia="楷体_GB2312" w:hAnsi="楷体" w:cs="楷体"/>
          <w:sz w:val="32"/>
          <w:szCs w:val="32"/>
        </w:rPr>
      </w:pPr>
      <w:r w:rsidRPr="00881E85">
        <w:rPr>
          <w:rFonts w:ascii="楷体_GB2312" w:eastAsia="楷体_GB2312" w:hAnsi="楷体" w:cs="楷体" w:hint="eastAsia"/>
          <w:sz w:val="32"/>
          <w:szCs w:val="32"/>
        </w:rPr>
        <w:t>（三）发展目标</w:t>
      </w:r>
      <w:bookmarkEnd w:id="7"/>
    </w:p>
    <w:p w:rsidR="00E61A21" w:rsidRPr="00881E85" w:rsidRDefault="00E61A21" w:rsidP="00DF399B">
      <w:pPr>
        <w:spacing w:line="620" w:lineRule="exact"/>
        <w:ind w:firstLineChars="200" w:firstLine="640"/>
        <w:rPr>
          <w:rFonts w:ascii="仿宋_GB2312" w:eastAsia="仿宋_GB2312"/>
          <w:b/>
          <w:i/>
          <w:color w:val="000000"/>
          <w:sz w:val="32"/>
          <w:szCs w:val="32"/>
        </w:rPr>
      </w:pPr>
      <w:r w:rsidRPr="00881E85">
        <w:rPr>
          <w:rFonts w:ascii="仿宋_GB2312" w:eastAsia="仿宋_GB2312" w:hint="eastAsia"/>
          <w:color w:val="000000"/>
          <w:sz w:val="32"/>
          <w:szCs w:val="32"/>
        </w:rPr>
        <w:t>力争到</w:t>
      </w:r>
      <w:r w:rsidRPr="00881E85">
        <w:rPr>
          <w:rFonts w:ascii="仿宋_GB2312" w:eastAsia="仿宋_GB2312"/>
          <w:color w:val="000000"/>
          <w:sz w:val="32"/>
          <w:szCs w:val="32"/>
        </w:rPr>
        <w:t>2020</w:t>
      </w:r>
      <w:r w:rsidRPr="00881E85">
        <w:rPr>
          <w:rFonts w:ascii="仿宋_GB2312" w:eastAsia="仿宋_GB2312" w:hint="eastAsia"/>
          <w:color w:val="000000"/>
          <w:sz w:val="32"/>
          <w:szCs w:val="32"/>
        </w:rPr>
        <w:t>年，全面确立人才优先发展的战略布局，重大人才工程和创业创新平台建设取得重大进展，人才政策创新取得较大突破，人才资源总量持续增长、素质稳步提升、结构更趋合理，人才对经济社会发展的引领支撑作用明显增强，人才工作继续走在全市前列。</w:t>
      </w:r>
    </w:p>
    <w:p w:rsidR="00E61A21" w:rsidRPr="00881E85" w:rsidRDefault="00E61A21" w:rsidP="00DF399B">
      <w:pPr>
        <w:spacing w:line="620" w:lineRule="exact"/>
        <w:ind w:firstLineChars="200" w:firstLine="643"/>
        <w:rPr>
          <w:rFonts w:ascii="仿宋_GB2312" w:eastAsia="仿宋_GB2312"/>
          <w:color w:val="000000"/>
          <w:sz w:val="32"/>
          <w:szCs w:val="32"/>
        </w:rPr>
      </w:pPr>
      <w:r w:rsidRPr="00881E85">
        <w:rPr>
          <w:rFonts w:ascii="仿宋_GB2312" w:eastAsia="仿宋_GB2312" w:hAnsi="仿宋_GB2312" w:cs="仿宋_GB2312"/>
          <w:b/>
          <w:bCs/>
          <w:color w:val="000000"/>
          <w:sz w:val="32"/>
          <w:szCs w:val="32"/>
        </w:rPr>
        <w:t>——</w:t>
      </w:r>
      <w:r w:rsidRPr="00881E85">
        <w:rPr>
          <w:rFonts w:ascii="仿宋_GB2312" w:eastAsia="仿宋_GB2312" w:hAnsi="仿宋_GB2312" w:cs="仿宋_GB2312" w:hint="eastAsia"/>
          <w:b/>
          <w:bCs/>
          <w:color w:val="000000"/>
          <w:sz w:val="32"/>
          <w:szCs w:val="32"/>
        </w:rPr>
        <w:t>人才总量稳步增长。</w:t>
      </w:r>
      <w:r w:rsidRPr="00881E85">
        <w:rPr>
          <w:rFonts w:ascii="仿宋_GB2312" w:eastAsia="仿宋_GB2312" w:hint="eastAsia"/>
          <w:color w:val="000000"/>
          <w:sz w:val="32"/>
          <w:szCs w:val="32"/>
        </w:rPr>
        <w:t>全县人才资源总量达到</w:t>
      </w:r>
      <w:r w:rsidRPr="00881E85">
        <w:rPr>
          <w:rFonts w:ascii="仿宋_GB2312" w:eastAsia="仿宋_GB2312"/>
          <w:color w:val="000000"/>
          <w:sz w:val="32"/>
          <w:szCs w:val="32"/>
        </w:rPr>
        <w:t>4.5</w:t>
      </w:r>
      <w:r w:rsidRPr="00881E85">
        <w:rPr>
          <w:rFonts w:ascii="仿宋_GB2312" w:eastAsia="仿宋_GB2312" w:hint="eastAsia"/>
          <w:color w:val="000000"/>
          <w:sz w:val="32"/>
          <w:szCs w:val="32"/>
        </w:rPr>
        <w:t>万人左右，年均增长</w:t>
      </w:r>
      <w:r w:rsidRPr="00881E85">
        <w:rPr>
          <w:rFonts w:ascii="仿宋_GB2312" w:eastAsia="仿宋_GB2312"/>
          <w:color w:val="000000"/>
          <w:sz w:val="32"/>
          <w:szCs w:val="32"/>
        </w:rPr>
        <w:t>2.4%</w:t>
      </w:r>
      <w:r w:rsidRPr="00881E85">
        <w:rPr>
          <w:rFonts w:ascii="仿宋_GB2312" w:eastAsia="仿宋_GB2312" w:hint="eastAsia"/>
          <w:color w:val="000000"/>
          <w:sz w:val="32"/>
          <w:szCs w:val="32"/>
        </w:rPr>
        <w:t>，较好满足经济社会发展需要。</w:t>
      </w:r>
    </w:p>
    <w:p w:rsidR="00E61A21" w:rsidRPr="00881E85" w:rsidRDefault="00E61A21" w:rsidP="00DF399B">
      <w:pPr>
        <w:spacing w:line="620" w:lineRule="exact"/>
        <w:ind w:firstLineChars="200" w:firstLine="643"/>
        <w:rPr>
          <w:rFonts w:ascii="仿宋_GB2312" w:eastAsia="仿宋_GB2312"/>
          <w:color w:val="000000"/>
          <w:sz w:val="32"/>
          <w:szCs w:val="32"/>
        </w:rPr>
      </w:pPr>
      <w:r w:rsidRPr="00881E85">
        <w:rPr>
          <w:rFonts w:ascii="仿宋_GB2312" w:eastAsia="仿宋_GB2312" w:hAnsi="仿宋_GB2312" w:cs="仿宋_GB2312"/>
          <w:b/>
          <w:bCs/>
          <w:color w:val="000000"/>
          <w:sz w:val="32"/>
          <w:szCs w:val="32"/>
        </w:rPr>
        <w:t>——</w:t>
      </w:r>
      <w:r w:rsidRPr="00881E85">
        <w:rPr>
          <w:rFonts w:ascii="仿宋_GB2312" w:eastAsia="仿宋_GB2312" w:hAnsi="仿宋_GB2312" w:cs="仿宋_GB2312" w:hint="eastAsia"/>
          <w:b/>
          <w:bCs/>
          <w:color w:val="000000"/>
          <w:sz w:val="32"/>
          <w:szCs w:val="32"/>
        </w:rPr>
        <w:t>人才结构更加合理。</w:t>
      </w:r>
      <w:r w:rsidRPr="00881E85">
        <w:rPr>
          <w:rFonts w:ascii="仿宋_GB2312" w:eastAsia="仿宋_GB2312" w:hint="eastAsia"/>
          <w:color w:val="000000"/>
          <w:sz w:val="32"/>
          <w:szCs w:val="32"/>
        </w:rPr>
        <w:t>人才素质大幅增加，全县</w:t>
      </w:r>
      <w:r w:rsidRPr="00881E85">
        <w:rPr>
          <w:rFonts w:ascii="仿宋_GB2312" w:eastAsia="仿宋_GB2312"/>
          <w:color w:val="000000"/>
          <w:sz w:val="32"/>
          <w:szCs w:val="32"/>
        </w:rPr>
        <w:t>R&amp;D</w:t>
      </w:r>
      <w:r w:rsidRPr="00881E85">
        <w:rPr>
          <w:rFonts w:ascii="仿宋_GB2312" w:eastAsia="仿宋_GB2312" w:hint="eastAsia"/>
          <w:color w:val="000000"/>
          <w:sz w:val="32"/>
          <w:szCs w:val="32"/>
        </w:rPr>
        <w:t>活动人员数达到</w:t>
      </w:r>
      <w:r w:rsidRPr="00881E85">
        <w:rPr>
          <w:rFonts w:ascii="仿宋_GB2312" w:eastAsia="仿宋_GB2312"/>
          <w:color w:val="000000"/>
          <w:sz w:val="32"/>
          <w:szCs w:val="32"/>
        </w:rPr>
        <w:t>1300</w:t>
      </w:r>
      <w:r w:rsidRPr="00881E85">
        <w:rPr>
          <w:rFonts w:ascii="仿宋_GB2312" w:eastAsia="仿宋_GB2312" w:hint="eastAsia"/>
          <w:color w:val="000000"/>
          <w:sz w:val="32"/>
          <w:szCs w:val="32"/>
        </w:rPr>
        <w:t>人年，高技能人才占技能劳动者的比例达到</w:t>
      </w:r>
      <w:r w:rsidRPr="00881E85">
        <w:rPr>
          <w:rFonts w:ascii="仿宋_GB2312" w:eastAsia="仿宋_GB2312"/>
          <w:color w:val="000000"/>
          <w:sz w:val="32"/>
          <w:szCs w:val="32"/>
        </w:rPr>
        <w:t>25%</w:t>
      </w:r>
      <w:r w:rsidRPr="00881E85">
        <w:rPr>
          <w:rFonts w:ascii="仿宋_GB2312" w:eastAsia="仿宋_GB2312" w:hint="eastAsia"/>
          <w:color w:val="000000"/>
          <w:sz w:val="32"/>
          <w:szCs w:val="32"/>
        </w:rPr>
        <w:t>，新增劳动年龄人口平均受教育年限达到</w:t>
      </w:r>
      <w:r w:rsidRPr="00881E85">
        <w:rPr>
          <w:rFonts w:ascii="仿宋_GB2312" w:eastAsia="仿宋_GB2312"/>
          <w:color w:val="000000"/>
          <w:sz w:val="32"/>
          <w:szCs w:val="32"/>
        </w:rPr>
        <w:t>15</w:t>
      </w:r>
      <w:r w:rsidRPr="00881E85">
        <w:rPr>
          <w:rFonts w:ascii="仿宋_GB2312" w:eastAsia="仿宋_GB2312" w:hint="eastAsia"/>
          <w:color w:val="000000"/>
          <w:sz w:val="32"/>
          <w:szCs w:val="32"/>
        </w:rPr>
        <w:t>年。人才布局更趋优化</w:t>
      </w:r>
      <w:r w:rsidRPr="00881E85">
        <w:rPr>
          <w:rFonts w:ascii="仿宋_GB2312" w:eastAsia="仿宋_GB2312"/>
          <w:color w:val="000000"/>
          <w:sz w:val="32"/>
          <w:szCs w:val="32"/>
        </w:rPr>
        <w:t>,</w:t>
      </w:r>
      <w:r w:rsidRPr="00881E85">
        <w:rPr>
          <w:rFonts w:ascii="仿宋_GB2312" w:eastAsia="仿宋_GB2312" w:hint="eastAsia"/>
          <w:color w:val="000000"/>
          <w:sz w:val="32"/>
          <w:szCs w:val="32"/>
        </w:rPr>
        <w:t>农村基层和重点领域人才保障明显加强。</w:t>
      </w:r>
    </w:p>
    <w:p w:rsidR="00E61A21" w:rsidRPr="00881E85" w:rsidRDefault="00E61A21" w:rsidP="00DF399B">
      <w:pPr>
        <w:spacing w:line="620" w:lineRule="exact"/>
        <w:ind w:firstLineChars="200" w:firstLine="643"/>
        <w:rPr>
          <w:rFonts w:ascii="仿宋_GB2312" w:eastAsia="仿宋_GB2312"/>
          <w:color w:val="000000"/>
          <w:sz w:val="32"/>
          <w:szCs w:val="32"/>
        </w:rPr>
      </w:pPr>
      <w:r w:rsidRPr="00881E85">
        <w:rPr>
          <w:rFonts w:ascii="仿宋_GB2312" w:eastAsia="仿宋_GB2312" w:hAnsi="仿宋_GB2312" w:cs="仿宋_GB2312"/>
          <w:b/>
          <w:bCs/>
          <w:color w:val="000000"/>
          <w:sz w:val="32"/>
          <w:szCs w:val="32"/>
        </w:rPr>
        <w:t>——</w:t>
      </w:r>
      <w:r w:rsidRPr="00881E85">
        <w:rPr>
          <w:rFonts w:ascii="仿宋_GB2312" w:eastAsia="仿宋_GB2312" w:hAnsi="仿宋_GB2312" w:cs="仿宋_GB2312" w:hint="eastAsia"/>
          <w:b/>
          <w:bCs/>
          <w:color w:val="000000"/>
          <w:sz w:val="32"/>
          <w:szCs w:val="32"/>
        </w:rPr>
        <w:t>人才环境日益优化。</w:t>
      </w:r>
      <w:r w:rsidRPr="00881E85">
        <w:rPr>
          <w:rFonts w:ascii="仿宋_GB2312" w:eastAsia="仿宋_GB2312" w:hint="eastAsia"/>
          <w:color w:val="000000"/>
          <w:sz w:val="32"/>
          <w:szCs w:val="32"/>
        </w:rPr>
        <w:t>市场在人才资源配置中的决定性作用充分发挥</w:t>
      </w:r>
      <w:r w:rsidRPr="00881E85">
        <w:rPr>
          <w:rFonts w:ascii="仿宋_GB2312" w:eastAsia="仿宋_GB2312"/>
          <w:color w:val="000000"/>
          <w:sz w:val="32"/>
          <w:szCs w:val="32"/>
        </w:rPr>
        <w:t>,</w:t>
      </w:r>
      <w:r w:rsidRPr="00881E85">
        <w:rPr>
          <w:rFonts w:ascii="仿宋_GB2312" w:eastAsia="仿宋_GB2312" w:hint="eastAsia"/>
          <w:color w:val="000000"/>
          <w:sz w:val="32"/>
          <w:szCs w:val="32"/>
        </w:rPr>
        <w:t>人才支持政策更加开放</w:t>
      </w:r>
      <w:r w:rsidRPr="00881E85">
        <w:rPr>
          <w:rFonts w:ascii="仿宋_GB2312" w:eastAsia="仿宋_GB2312"/>
          <w:color w:val="000000"/>
          <w:sz w:val="32"/>
          <w:szCs w:val="32"/>
        </w:rPr>
        <w:t>,</w:t>
      </w:r>
      <w:r w:rsidRPr="00881E85">
        <w:rPr>
          <w:rFonts w:ascii="仿宋_GB2312" w:eastAsia="仿宋_GB2312" w:hint="eastAsia"/>
          <w:color w:val="000000"/>
          <w:sz w:val="32"/>
          <w:szCs w:val="32"/>
        </w:rPr>
        <w:t>“店小二”式人才服务体系更加健全</w:t>
      </w:r>
      <w:r w:rsidRPr="00881E85">
        <w:rPr>
          <w:rFonts w:ascii="仿宋_GB2312" w:eastAsia="仿宋_GB2312"/>
          <w:color w:val="000000"/>
          <w:sz w:val="32"/>
          <w:szCs w:val="32"/>
        </w:rPr>
        <w:t>,</w:t>
      </w:r>
      <w:r w:rsidRPr="00881E85">
        <w:rPr>
          <w:rFonts w:ascii="仿宋_GB2312" w:eastAsia="仿宋_GB2312" w:hint="eastAsia"/>
          <w:color w:val="000000"/>
          <w:sz w:val="32"/>
          <w:szCs w:val="32"/>
        </w:rPr>
        <w:t>人才投入保障更加有力</w:t>
      </w:r>
      <w:r w:rsidRPr="00881E85">
        <w:rPr>
          <w:rFonts w:ascii="仿宋_GB2312" w:eastAsia="仿宋_GB2312"/>
          <w:color w:val="000000"/>
          <w:sz w:val="32"/>
          <w:szCs w:val="32"/>
        </w:rPr>
        <w:t>,</w:t>
      </w:r>
      <w:r w:rsidRPr="00881E85">
        <w:rPr>
          <w:rFonts w:ascii="仿宋_GB2312" w:eastAsia="仿宋_GB2312" w:hint="eastAsia"/>
          <w:color w:val="000000"/>
          <w:sz w:val="32"/>
          <w:szCs w:val="32"/>
        </w:rPr>
        <w:t>人才发展的法治环境和社会环境显著改善。</w:t>
      </w:r>
    </w:p>
    <w:p w:rsidR="00E61A21" w:rsidRDefault="00E61A21" w:rsidP="00DF399B">
      <w:pPr>
        <w:spacing w:line="620" w:lineRule="exact"/>
        <w:ind w:firstLineChars="200" w:firstLine="643"/>
        <w:rPr>
          <w:rFonts w:ascii="仿宋_GB2312" w:eastAsia="仿宋_GB2312"/>
          <w:color w:val="000000"/>
          <w:sz w:val="32"/>
          <w:szCs w:val="32"/>
        </w:rPr>
      </w:pPr>
      <w:r w:rsidRPr="00881E85">
        <w:rPr>
          <w:rFonts w:ascii="仿宋_GB2312" w:eastAsia="仿宋_GB2312" w:hAnsi="仿宋_GB2312" w:cs="仿宋_GB2312"/>
          <w:b/>
          <w:bCs/>
          <w:color w:val="000000"/>
          <w:sz w:val="32"/>
          <w:szCs w:val="32"/>
        </w:rPr>
        <w:t>——</w:t>
      </w:r>
      <w:r w:rsidRPr="00881E85">
        <w:rPr>
          <w:rFonts w:ascii="仿宋_GB2312" w:eastAsia="仿宋_GB2312" w:hAnsi="仿宋_GB2312" w:cs="仿宋_GB2312" w:hint="eastAsia"/>
          <w:b/>
          <w:bCs/>
          <w:color w:val="000000"/>
          <w:sz w:val="32"/>
          <w:szCs w:val="32"/>
        </w:rPr>
        <w:t>人才红利充分释放。</w:t>
      </w:r>
      <w:r w:rsidRPr="00881E85">
        <w:rPr>
          <w:rFonts w:ascii="仿宋_GB2312" w:eastAsia="仿宋_GB2312" w:hint="eastAsia"/>
          <w:color w:val="000000"/>
          <w:sz w:val="32"/>
          <w:szCs w:val="32"/>
        </w:rPr>
        <w:t>人才发展体制机制改革取得实质性突破，人才对经济社会发展的促进作用明显增强，人才贡献率达</w:t>
      </w:r>
      <w:r w:rsidRPr="00881E85">
        <w:rPr>
          <w:rFonts w:ascii="仿宋_GB2312" w:eastAsia="仿宋_GB2312"/>
          <w:color w:val="000000"/>
          <w:sz w:val="32"/>
          <w:szCs w:val="32"/>
        </w:rPr>
        <w:t>39.5%</w:t>
      </w:r>
      <w:r w:rsidRPr="00881E85">
        <w:rPr>
          <w:rFonts w:ascii="仿宋_GB2312" w:eastAsia="仿宋_GB2312" w:hint="eastAsia"/>
          <w:color w:val="000000"/>
          <w:sz w:val="32"/>
          <w:szCs w:val="32"/>
        </w:rPr>
        <w:t>。</w:t>
      </w:r>
    </w:p>
    <w:p w:rsidR="00E61A21" w:rsidRPr="00881E85" w:rsidRDefault="00E61A21" w:rsidP="00DF399B">
      <w:pPr>
        <w:spacing w:line="620" w:lineRule="exact"/>
        <w:ind w:firstLineChars="200" w:firstLine="640"/>
        <w:rPr>
          <w:rFonts w:ascii="仿宋_GB2312" w:eastAsia="仿宋_GB2312"/>
          <w:color w:val="000000"/>
          <w:sz w:val="32"/>
          <w:szCs w:val="32"/>
        </w:rPr>
      </w:pPr>
    </w:p>
    <w:tbl>
      <w:tblPr>
        <w:tblW w:w="85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tblPr>
      <w:tblGrid>
        <w:gridCol w:w="822"/>
        <w:gridCol w:w="3119"/>
        <w:gridCol w:w="708"/>
        <w:gridCol w:w="1134"/>
        <w:gridCol w:w="1134"/>
        <w:gridCol w:w="1614"/>
      </w:tblGrid>
      <w:tr w:rsidR="00E61A21">
        <w:trPr>
          <w:cantSplit/>
          <w:trHeight w:val="340"/>
          <w:jc w:val="center"/>
        </w:trPr>
        <w:tc>
          <w:tcPr>
            <w:tcW w:w="8531" w:type="dxa"/>
            <w:gridSpan w:val="6"/>
            <w:shd w:val="clear" w:color="auto" w:fill="92D050"/>
            <w:tcMar>
              <w:top w:w="20" w:type="dxa"/>
              <w:left w:w="20" w:type="dxa"/>
              <w:bottom w:w="0" w:type="dxa"/>
              <w:right w:w="20" w:type="dxa"/>
            </w:tcMar>
            <w:vAlign w:val="center"/>
          </w:tcPr>
          <w:p w:rsidR="00E61A21" w:rsidRDefault="00E61A21">
            <w:pPr>
              <w:spacing w:line="560" w:lineRule="exact"/>
              <w:jc w:val="center"/>
              <w:rPr>
                <w:rFonts w:ascii="黑体" w:eastAsia="黑体" w:hAnsi="宋体"/>
                <w:bCs/>
                <w:color w:val="000000"/>
                <w:sz w:val="24"/>
                <w:szCs w:val="24"/>
              </w:rPr>
            </w:pPr>
            <w:r>
              <w:rPr>
                <w:rFonts w:ascii="黑体" w:eastAsia="黑体" w:hint="eastAsia"/>
                <w:color w:val="000000"/>
                <w:sz w:val="24"/>
                <w:szCs w:val="24"/>
              </w:rPr>
              <w:t>青田县“十三五”人才发展主要指标</w:t>
            </w:r>
          </w:p>
        </w:tc>
      </w:tr>
      <w:tr w:rsidR="00E61A21">
        <w:trPr>
          <w:cantSplit/>
          <w:trHeight w:val="340"/>
          <w:jc w:val="center"/>
        </w:trPr>
        <w:tc>
          <w:tcPr>
            <w:tcW w:w="3941" w:type="dxa"/>
            <w:gridSpan w:val="2"/>
            <w:tcMar>
              <w:top w:w="20" w:type="dxa"/>
              <w:left w:w="20" w:type="dxa"/>
              <w:bottom w:w="0" w:type="dxa"/>
              <w:right w:w="20" w:type="dxa"/>
            </w:tcMar>
            <w:vAlign w:val="center"/>
          </w:tcPr>
          <w:p w:rsidR="00E61A21" w:rsidRDefault="00E61A21">
            <w:pPr>
              <w:spacing w:line="560" w:lineRule="exact"/>
              <w:jc w:val="center"/>
              <w:rPr>
                <w:rFonts w:ascii="仿宋_GB2312" w:hAnsi="宋体"/>
                <w:bCs/>
                <w:color w:val="000000"/>
                <w:sz w:val="24"/>
                <w:szCs w:val="24"/>
              </w:rPr>
            </w:pPr>
            <w:r>
              <w:rPr>
                <w:rFonts w:ascii="仿宋_GB2312" w:hAnsi="宋体" w:hint="eastAsia"/>
                <w:bCs/>
                <w:color w:val="000000"/>
                <w:sz w:val="24"/>
                <w:szCs w:val="24"/>
              </w:rPr>
              <w:t>指</w:t>
            </w:r>
            <w:r>
              <w:rPr>
                <w:rFonts w:ascii="仿宋_GB2312" w:hAnsi="宋体"/>
                <w:bCs/>
                <w:color w:val="000000"/>
                <w:sz w:val="24"/>
                <w:szCs w:val="24"/>
              </w:rPr>
              <w:t xml:space="preserve">    </w:t>
            </w:r>
            <w:r>
              <w:rPr>
                <w:rFonts w:ascii="仿宋_GB2312" w:hAnsi="宋体" w:hint="eastAsia"/>
                <w:bCs/>
                <w:color w:val="000000"/>
                <w:sz w:val="24"/>
                <w:szCs w:val="24"/>
              </w:rPr>
              <w:t>标</w:t>
            </w:r>
          </w:p>
        </w:tc>
        <w:tc>
          <w:tcPr>
            <w:tcW w:w="708" w:type="dxa"/>
            <w:tcMar>
              <w:top w:w="20" w:type="dxa"/>
              <w:left w:w="20" w:type="dxa"/>
              <w:bottom w:w="0" w:type="dxa"/>
              <w:right w:w="20" w:type="dxa"/>
            </w:tcMar>
            <w:vAlign w:val="center"/>
          </w:tcPr>
          <w:p w:rsidR="00E61A21" w:rsidRDefault="00E61A21">
            <w:pPr>
              <w:spacing w:line="560" w:lineRule="exact"/>
              <w:jc w:val="center"/>
              <w:rPr>
                <w:rFonts w:ascii="仿宋_GB2312" w:hAnsi="宋体"/>
                <w:bCs/>
                <w:color w:val="000000"/>
                <w:sz w:val="24"/>
                <w:szCs w:val="24"/>
              </w:rPr>
            </w:pPr>
            <w:r>
              <w:rPr>
                <w:rFonts w:ascii="仿宋_GB2312" w:hAnsi="宋体" w:hint="eastAsia"/>
                <w:bCs/>
                <w:color w:val="000000"/>
                <w:sz w:val="24"/>
                <w:szCs w:val="24"/>
              </w:rPr>
              <w:t>单</w:t>
            </w:r>
            <w:r>
              <w:rPr>
                <w:rFonts w:ascii="仿宋_GB2312" w:hAnsi="宋体"/>
                <w:bCs/>
                <w:color w:val="000000"/>
                <w:sz w:val="24"/>
                <w:szCs w:val="24"/>
              </w:rPr>
              <w:t xml:space="preserve"> </w:t>
            </w:r>
            <w:r>
              <w:rPr>
                <w:rFonts w:ascii="仿宋_GB2312" w:hAnsi="宋体" w:hint="eastAsia"/>
                <w:bCs/>
                <w:color w:val="000000"/>
                <w:sz w:val="24"/>
                <w:szCs w:val="24"/>
              </w:rPr>
              <w:t>位</w:t>
            </w:r>
          </w:p>
        </w:tc>
        <w:tc>
          <w:tcPr>
            <w:tcW w:w="1134" w:type="dxa"/>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2015</w:t>
            </w:r>
            <w:r>
              <w:rPr>
                <w:rFonts w:ascii="宋体" w:hAnsi="宋体" w:hint="eastAsia"/>
                <w:color w:val="000000"/>
                <w:sz w:val="24"/>
                <w:szCs w:val="24"/>
              </w:rPr>
              <w:t>年</w:t>
            </w:r>
          </w:p>
        </w:tc>
        <w:tc>
          <w:tcPr>
            <w:tcW w:w="1134" w:type="dxa"/>
            <w:tcBorders>
              <w:right w:val="single" w:sz="4" w:space="0" w:color="auto"/>
            </w:tcBorders>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2020</w:t>
            </w:r>
            <w:r>
              <w:rPr>
                <w:rFonts w:ascii="宋体" w:hAnsi="宋体" w:hint="eastAsia"/>
                <w:color w:val="000000"/>
                <w:sz w:val="24"/>
                <w:szCs w:val="24"/>
              </w:rPr>
              <w:t>年</w:t>
            </w:r>
          </w:p>
        </w:tc>
        <w:tc>
          <w:tcPr>
            <w:tcW w:w="1614" w:type="dxa"/>
            <w:tcBorders>
              <w:left w:val="single" w:sz="4" w:space="0" w:color="auto"/>
            </w:tcBorders>
            <w:vAlign w:val="center"/>
          </w:tcPr>
          <w:p w:rsidR="00E61A21" w:rsidRDefault="00E61A21">
            <w:pPr>
              <w:spacing w:line="560" w:lineRule="exact"/>
              <w:jc w:val="center"/>
              <w:rPr>
                <w:rFonts w:ascii="宋体"/>
                <w:color w:val="000000"/>
                <w:sz w:val="24"/>
                <w:szCs w:val="24"/>
              </w:rPr>
            </w:pPr>
            <w:r>
              <w:rPr>
                <w:rFonts w:ascii="宋体" w:hAnsi="宋体" w:hint="eastAsia"/>
                <w:color w:val="000000"/>
                <w:sz w:val="24"/>
                <w:szCs w:val="24"/>
              </w:rPr>
              <w:t>备注</w:t>
            </w:r>
          </w:p>
        </w:tc>
      </w:tr>
      <w:tr w:rsidR="00E61A21">
        <w:trPr>
          <w:cantSplit/>
          <w:trHeight w:val="340"/>
          <w:jc w:val="center"/>
        </w:trPr>
        <w:tc>
          <w:tcPr>
            <w:tcW w:w="3941" w:type="dxa"/>
            <w:gridSpan w:val="2"/>
            <w:tcMar>
              <w:top w:w="20" w:type="dxa"/>
              <w:left w:w="20" w:type="dxa"/>
              <w:bottom w:w="0" w:type="dxa"/>
              <w:right w:w="20" w:type="dxa"/>
            </w:tcMar>
            <w:vAlign w:val="center"/>
          </w:tcPr>
          <w:p w:rsidR="00E61A21" w:rsidRDefault="00E61A21" w:rsidP="00DF399B">
            <w:pPr>
              <w:spacing w:line="560" w:lineRule="exact"/>
              <w:ind w:leftChars="50" w:left="105"/>
              <w:jc w:val="center"/>
              <w:rPr>
                <w:rFonts w:ascii="仿宋_GB2312" w:hAnsi="宋体"/>
                <w:bCs/>
                <w:color w:val="000000"/>
                <w:sz w:val="24"/>
                <w:szCs w:val="24"/>
              </w:rPr>
            </w:pPr>
            <w:r>
              <w:rPr>
                <w:rFonts w:ascii="仿宋_GB2312" w:hAnsi="宋体" w:hint="eastAsia"/>
                <w:bCs/>
                <w:color w:val="000000"/>
                <w:sz w:val="24"/>
                <w:szCs w:val="24"/>
              </w:rPr>
              <w:t>人才资源总量</w:t>
            </w:r>
          </w:p>
        </w:tc>
        <w:tc>
          <w:tcPr>
            <w:tcW w:w="708" w:type="dxa"/>
            <w:tcMar>
              <w:top w:w="20" w:type="dxa"/>
              <w:left w:w="20" w:type="dxa"/>
              <w:bottom w:w="0" w:type="dxa"/>
              <w:right w:w="20" w:type="dxa"/>
            </w:tcMar>
            <w:vAlign w:val="center"/>
          </w:tcPr>
          <w:p w:rsidR="00E61A21" w:rsidRDefault="00E61A21">
            <w:pPr>
              <w:spacing w:line="560" w:lineRule="exact"/>
              <w:jc w:val="center"/>
              <w:rPr>
                <w:rFonts w:ascii="仿宋_GB2312" w:hAnsi="宋体"/>
                <w:color w:val="000000"/>
                <w:sz w:val="24"/>
                <w:szCs w:val="24"/>
              </w:rPr>
            </w:pPr>
            <w:r>
              <w:rPr>
                <w:rFonts w:ascii="仿宋_GB2312" w:hAnsi="宋体" w:hint="eastAsia"/>
                <w:color w:val="000000"/>
                <w:sz w:val="24"/>
                <w:szCs w:val="24"/>
              </w:rPr>
              <w:t>人</w:t>
            </w:r>
          </w:p>
        </w:tc>
        <w:tc>
          <w:tcPr>
            <w:tcW w:w="1134" w:type="dxa"/>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40002</w:t>
            </w:r>
          </w:p>
        </w:tc>
        <w:tc>
          <w:tcPr>
            <w:tcW w:w="1134" w:type="dxa"/>
            <w:tcBorders>
              <w:right w:val="single" w:sz="4" w:space="0" w:color="auto"/>
            </w:tcBorders>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45000</w:t>
            </w:r>
          </w:p>
        </w:tc>
        <w:tc>
          <w:tcPr>
            <w:tcW w:w="1614" w:type="dxa"/>
            <w:tcBorders>
              <w:left w:val="single" w:sz="4" w:space="0" w:color="auto"/>
            </w:tcBorders>
            <w:vAlign w:val="center"/>
          </w:tcPr>
          <w:p w:rsidR="00E61A21" w:rsidRDefault="00E61A21">
            <w:pPr>
              <w:spacing w:line="560" w:lineRule="exact"/>
              <w:jc w:val="center"/>
              <w:rPr>
                <w:rFonts w:ascii="宋体"/>
                <w:color w:val="000000"/>
                <w:sz w:val="24"/>
                <w:szCs w:val="24"/>
              </w:rPr>
            </w:pPr>
          </w:p>
        </w:tc>
      </w:tr>
      <w:tr w:rsidR="00E61A21">
        <w:trPr>
          <w:cantSplit/>
          <w:trHeight w:val="340"/>
          <w:jc w:val="center"/>
        </w:trPr>
        <w:tc>
          <w:tcPr>
            <w:tcW w:w="822" w:type="dxa"/>
            <w:vMerge w:val="restart"/>
            <w:tcMar>
              <w:top w:w="20" w:type="dxa"/>
              <w:left w:w="20" w:type="dxa"/>
              <w:bottom w:w="0" w:type="dxa"/>
              <w:right w:w="20" w:type="dxa"/>
            </w:tcMar>
            <w:vAlign w:val="center"/>
          </w:tcPr>
          <w:p w:rsidR="00E61A21" w:rsidRDefault="00E61A21">
            <w:pPr>
              <w:spacing w:line="560" w:lineRule="exact"/>
              <w:jc w:val="center"/>
              <w:rPr>
                <w:rFonts w:ascii="仿宋_GB2312" w:hAnsi="宋体"/>
                <w:color w:val="000000"/>
                <w:sz w:val="24"/>
                <w:szCs w:val="24"/>
              </w:rPr>
            </w:pPr>
            <w:r>
              <w:rPr>
                <w:rFonts w:ascii="仿宋_GB2312" w:hAnsi="宋体" w:hint="eastAsia"/>
                <w:color w:val="000000"/>
                <w:sz w:val="24"/>
                <w:szCs w:val="24"/>
              </w:rPr>
              <w:t>其中</w:t>
            </w:r>
          </w:p>
        </w:tc>
        <w:tc>
          <w:tcPr>
            <w:tcW w:w="3119" w:type="dxa"/>
            <w:tcMar>
              <w:top w:w="20" w:type="dxa"/>
              <w:left w:w="20" w:type="dxa"/>
              <w:bottom w:w="0" w:type="dxa"/>
              <w:right w:w="20" w:type="dxa"/>
            </w:tcMar>
            <w:vAlign w:val="center"/>
          </w:tcPr>
          <w:p w:rsidR="00E61A21" w:rsidRDefault="00E61A21" w:rsidP="00DF399B">
            <w:pPr>
              <w:spacing w:line="560" w:lineRule="exact"/>
              <w:ind w:leftChars="50" w:left="105"/>
              <w:rPr>
                <w:rFonts w:ascii="仿宋_GB2312" w:hAnsi="宋体"/>
                <w:color w:val="000000"/>
                <w:sz w:val="24"/>
                <w:szCs w:val="24"/>
              </w:rPr>
            </w:pPr>
            <w:r>
              <w:rPr>
                <w:rFonts w:ascii="仿宋_GB2312" w:hAnsi="宋体" w:hint="eastAsia"/>
                <w:color w:val="000000"/>
                <w:sz w:val="24"/>
                <w:szCs w:val="24"/>
              </w:rPr>
              <w:t>党政人才队伍</w:t>
            </w:r>
          </w:p>
        </w:tc>
        <w:tc>
          <w:tcPr>
            <w:tcW w:w="708" w:type="dxa"/>
            <w:tcMar>
              <w:top w:w="20" w:type="dxa"/>
              <w:left w:w="20" w:type="dxa"/>
              <w:bottom w:w="0" w:type="dxa"/>
              <w:right w:w="20" w:type="dxa"/>
            </w:tcMar>
            <w:vAlign w:val="center"/>
          </w:tcPr>
          <w:p w:rsidR="00E61A21" w:rsidRDefault="00E61A21">
            <w:pPr>
              <w:spacing w:line="560" w:lineRule="exact"/>
              <w:jc w:val="center"/>
              <w:rPr>
                <w:rFonts w:ascii="仿宋_GB2312" w:hAnsi="宋体"/>
                <w:color w:val="000000"/>
                <w:sz w:val="24"/>
                <w:szCs w:val="24"/>
              </w:rPr>
            </w:pPr>
            <w:r>
              <w:rPr>
                <w:rFonts w:ascii="仿宋_GB2312" w:hAnsi="宋体" w:hint="eastAsia"/>
                <w:color w:val="000000"/>
                <w:sz w:val="24"/>
                <w:szCs w:val="24"/>
              </w:rPr>
              <w:t>人</w:t>
            </w:r>
          </w:p>
        </w:tc>
        <w:tc>
          <w:tcPr>
            <w:tcW w:w="1134" w:type="dxa"/>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2039</w:t>
            </w:r>
          </w:p>
        </w:tc>
        <w:tc>
          <w:tcPr>
            <w:tcW w:w="1134" w:type="dxa"/>
            <w:tcBorders>
              <w:right w:val="single" w:sz="4" w:space="0" w:color="auto"/>
            </w:tcBorders>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2050</w:t>
            </w:r>
          </w:p>
        </w:tc>
        <w:tc>
          <w:tcPr>
            <w:tcW w:w="1614" w:type="dxa"/>
            <w:tcBorders>
              <w:left w:val="single" w:sz="4" w:space="0" w:color="auto"/>
            </w:tcBorders>
            <w:vAlign w:val="center"/>
          </w:tcPr>
          <w:p w:rsidR="00E61A21" w:rsidRDefault="00E61A21">
            <w:pPr>
              <w:spacing w:line="560" w:lineRule="exact"/>
              <w:jc w:val="center"/>
              <w:rPr>
                <w:rFonts w:ascii="宋体"/>
                <w:color w:val="000000"/>
                <w:sz w:val="24"/>
                <w:szCs w:val="24"/>
              </w:rPr>
            </w:pPr>
          </w:p>
        </w:tc>
      </w:tr>
      <w:tr w:rsidR="00E61A21">
        <w:trPr>
          <w:cantSplit/>
          <w:trHeight w:val="340"/>
          <w:jc w:val="center"/>
        </w:trPr>
        <w:tc>
          <w:tcPr>
            <w:tcW w:w="822" w:type="dxa"/>
            <w:vMerge/>
            <w:tcMar>
              <w:top w:w="20" w:type="dxa"/>
              <w:left w:w="20" w:type="dxa"/>
              <w:bottom w:w="0" w:type="dxa"/>
              <w:right w:w="20" w:type="dxa"/>
            </w:tcMar>
            <w:vAlign w:val="center"/>
          </w:tcPr>
          <w:p w:rsidR="00E61A21" w:rsidRDefault="00E61A21" w:rsidP="00DF399B">
            <w:pPr>
              <w:spacing w:line="560" w:lineRule="exact"/>
              <w:ind w:firstLineChars="200" w:firstLine="480"/>
              <w:rPr>
                <w:rFonts w:ascii="仿宋_GB2312" w:hAnsi="宋体"/>
                <w:color w:val="000000"/>
                <w:sz w:val="24"/>
                <w:szCs w:val="24"/>
              </w:rPr>
            </w:pPr>
          </w:p>
        </w:tc>
        <w:tc>
          <w:tcPr>
            <w:tcW w:w="3119" w:type="dxa"/>
            <w:tcMar>
              <w:top w:w="20" w:type="dxa"/>
              <w:left w:w="20" w:type="dxa"/>
              <w:bottom w:w="0" w:type="dxa"/>
              <w:right w:w="20" w:type="dxa"/>
            </w:tcMar>
            <w:vAlign w:val="center"/>
          </w:tcPr>
          <w:p w:rsidR="00E61A21" w:rsidRDefault="00E61A21" w:rsidP="00DF399B">
            <w:pPr>
              <w:spacing w:line="560" w:lineRule="exact"/>
              <w:ind w:leftChars="50" w:left="105"/>
              <w:rPr>
                <w:rFonts w:ascii="仿宋_GB2312" w:hAnsi="宋体"/>
                <w:color w:val="000000"/>
                <w:sz w:val="24"/>
                <w:szCs w:val="24"/>
              </w:rPr>
            </w:pPr>
            <w:r>
              <w:rPr>
                <w:rFonts w:ascii="仿宋_GB2312" w:hAnsi="宋体" w:hint="eastAsia"/>
                <w:color w:val="000000"/>
                <w:sz w:val="24"/>
                <w:szCs w:val="24"/>
              </w:rPr>
              <w:t>企业经营管理人才队伍</w:t>
            </w:r>
          </w:p>
        </w:tc>
        <w:tc>
          <w:tcPr>
            <w:tcW w:w="708" w:type="dxa"/>
            <w:tcMar>
              <w:top w:w="20" w:type="dxa"/>
              <w:left w:w="20" w:type="dxa"/>
              <w:bottom w:w="0" w:type="dxa"/>
              <w:right w:w="20" w:type="dxa"/>
            </w:tcMar>
            <w:vAlign w:val="center"/>
          </w:tcPr>
          <w:p w:rsidR="00E61A21" w:rsidRDefault="00E61A21">
            <w:pPr>
              <w:spacing w:line="560" w:lineRule="exact"/>
              <w:jc w:val="center"/>
              <w:rPr>
                <w:rFonts w:ascii="仿宋_GB2312" w:hAnsi="宋体"/>
                <w:color w:val="000000"/>
                <w:sz w:val="24"/>
                <w:szCs w:val="24"/>
              </w:rPr>
            </w:pPr>
            <w:r>
              <w:rPr>
                <w:rFonts w:ascii="仿宋_GB2312" w:hAnsi="宋体" w:hint="eastAsia"/>
                <w:color w:val="000000"/>
                <w:sz w:val="24"/>
                <w:szCs w:val="24"/>
              </w:rPr>
              <w:t>人</w:t>
            </w:r>
          </w:p>
        </w:tc>
        <w:tc>
          <w:tcPr>
            <w:tcW w:w="1134" w:type="dxa"/>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9457</w:t>
            </w:r>
          </w:p>
        </w:tc>
        <w:tc>
          <w:tcPr>
            <w:tcW w:w="1134" w:type="dxa"/>
            <w:tcBorders>
              <w:right w:val="single" w:sz="4" w:space="0" w:color="auto"/>
            </w:tcBorders>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10500</w:t>
            </w:r>
          </w:p>
        </w:tc>
        <w:tc>
          <w:tcPr>
            <w:tcW w:w="1614" w:type="dxa"/>
            <w:tcBorders>
              <w:left w:val="single" w:sz="4" w:space="0" w:color="auto"/>
            </w:tcBorders>
            <w:vAlign w:val="center"/>
          </w:tcPr>
          <w:p w:rsidR="00E61A21" w:rsidRDefault="00E61A21">
            <w:pPr>
              <w:spacing w:line="560" w:lineRule="exact"/>
              <w:jc w:val="center"/>
              <w:rPr>
                <w:rFonts w:ascii="宋体"/>
                <w:color w:val="000000"/>
                <w:sz w:val="24"/>
                <w:szCs w:val="24"/>
              </w:rPr>
            </w:pPr>
          </w:p>
        </w:tc>
      </w:tr>
      <w:tr w:rsidR="00E61A21">
        <w:trPr>
          <w:cantSplit/>
          <w:trHeight w:val="340"/>
          <w:jc w:val="center"/>
        </w:trPr>
        <w:tc>
          <w:tcPr>
            <w:tcW w:w="822" w:type="dxa"/>
            <w:vMerge/>
            <w:tcMar>
              <w:top w:w="20" w:type="dxa"/>
              <w:left w:w="20" w:type="dxa"/>
              <w:bottom w:w="0" w:type="dxa"/>
              <w:right w:w="20" w:type="dxa"/>
            </w:tcMar>
            <w:vAlign w:val="center"/>
          </w:tcPr>
          <w:p w:rsidR="00E61A21" w:rsidRDefault="00E61A21" w:rsidP="00DF399B">
            <w:pPr>
              <w:spacing w:line="560" w:lineRule="exact"/>
              <w:ind w:firstLineChars="200" w:firstLine="480"/>
              <w:rPr>
                <w:rFonts w:ascii="仿宋_GB2312" w:hAnsi="宋体"/>
                <w:color w:val="000000"/>
                <w:sz w:val="24"/>
                <w:szCs w:val="24"/>
              </w:rPr>
            </w:pPr>
          </w:p>
        </w:tc>
        <w:tc>
          <w:tcPr>
            <w:tcW w:w="3119" w:type="dxa"/>
            <w:tcMar>
              <w:top w:w="20" w:type="dxa"/>
              <w:left w:w="20" w:type="dxa"/>
              <w:bottom w:w="0" w:type="dxa"/>
              <w:right w:w="20" w:type="dxa"/>
            </w:tcMar>
            <w:vAlign w:val="center"/>
          </w:tcPr>
          <w:p w:rsidR="00E61A21" w:rsidRDefault="00E61A21" w:rsidP="00DF399B">
            <w:pPr>
              <w:spacing w:line="560" w:lineRule="exact"/>
              <w:ind w:leftChars="50" w:left="105"/>
              <w:rPr>
                <w:rFonts w:ascii="仿宋_GB2312" w:hAnsi="宋体"/>
                <w:color w:val="000000"/>
                <w:sz w:val="24"/>
                <w:szCs w:val="24"/>
              </w:rPr>
            </w:pPr>
            <w:r>
              <w:rPr>
                <w:rFonts w:ascii="仿宋_GB2312" w:hAnsi="宋体" w:hint="eastAsia"/>
                <w:color w:val="000000"/>
                <w:sz w:val="24"/>
                <w:szCs w:val="24"/>
              </w:rPr>
              <w:t>专业技术人才队伍</w:t>
            </w:r>
          </w:p>
        </w:tc>
        <w:tc>
          <w:tcPr>
            <w:tcW w:w="708" w:type="dxa"/>
            <w:tcMar>
              <w:top w:w="20" w:type="dxa"/>
              <w:left w:w="20" w:type="dxa"/>
              <w:bottom w:w="0" w:type="dxa"/>
              <w:right w:w="20" w:type="dxa"/>
            </w:tcMar>
            <w:vAlign w:val="center"/>
          </w:tcPr>
          <w:p w:rsidR="00E61A21" w:rsidRDefault="00E61A21">
            <w:pPr>
              <w:spacing w:line="560" w:lineRule="exact"/>
              <w:jc w:val="center"/>
              <w:rPr>
                <w:rFonts w:ascii="仿宋_GB2312" w:hAnsi="宋体"/>
                <w:color w:val="000000"/>
                <w:sz w:val="24"/>
                <w:szCs w:val="24"/>
              </w:rPr>
            </w:pPr>
            <w:r>
              <w:rPr>
                <w:rFonts w:ascii="仿宋_GB2312" w:hAnsi="宋体" w:hint="eastAsia"/>
                <w:color w:val="000000"/>
                <w:sz w:val="24"/>
                <w:szCs w:val="24"/>
              </w:rPr>
              <w:t>人</w:t>
            </w:r>
          </w:p>
        </w:tc>
        <w:tc>
          <w:tcPr>
            <w:tcW w:w="1134" w:type="dxa"/>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11985</w:t>
            </w:r>
          </w:p>
        </w:tc>
        <w:tc>
          <w:tcPr>
            <w:tcW w:w="1134" w:type="dxa"/>
            <w:tcBorders>
              <w:right w:val="single" w:sz="4" w:space="0" w:color="auto"/>
            </w:tcBorders>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13000</w:t>
            </w:r>
          </w:p>
        </w:tc>
        <w:tc>
          <w:tcPr>
            <w:tcW w:w="1614" w:type="dxa"/>
            <w:tcBorders>
              <w:left w:val="single" w:sz="4" w:space="0" w:color="auto"/>
            </w:tcBorders>
            <w:vAlign w:val="center"/>
          </w:tcPr>
          <w:p w:rsidR="00E61A21" w:rsidRDefault="00E61A21">
            <w:pPr>
              <w:spacing w:line="560" w:lineRule="exact"/>
              <w:jc w:val="center"/>
              <w:rPr>
                <w:rFonts w:ascii="宋体"/>
                <w:color w:val="000000"/>
                <w:sz w:val="24"/>
                <w:szCs w:val="24"/>
              </w:rPr>
            </w:pPr>
          </w:p>
        </w:tc>
      </w:tr>
      <w:tr w:rsidR="00E61A21">
        <w:trPr>
          <w:cantSplit/>
          <w:trHeight w:val="340"/>
          <w:jc w:val="center"/>
        </w:trPr>
        <w:tc>
          <w:tcPr>
            <w:tcW w:w="822" w:type="dxa"/>
            <w:vMerge/>
            <w:tcMar>
              <w:top w:w="20" w:type="dxa"/>
              <w:left w:w="20" w:type="dxa"/>
              <w:bottom w:w="0" w:type="dxa"/>
              <w:right w:w="20" w:type="dxa"/>
            </w:tcMar>
            <w:vAlign w:val="center"/>
          </w:tcPr>
          <w:p w:rsidR="00E61A21" w:rsidRDefault="00E61A21" w:rsidP="00DF399B">
            <w:pPr>
              <w:spacing w:line="560" w:lineRule="exact"/>
              <w:ind w:firstLineChars="200" w:firstLine="480"/>
              <w:rPr>
                <w:rFonts w:ascii="仿宋_GB2312" w:hAnsi="宋体"/>
                <w:color w:val="000000"/>
                <w:sz w:val="24"/>
                <w:szCs w:val="24"/>
              </w:rPr>
            </w:pPr>
          </w:p>
        </w:tc>
        <w:tc>
          <w:tcPr>
            <w:tcW w:w="3119" w:type="dxa"/>
            <w:tcMar>
              <w:top w:w="20" w:type="dxa"/>
              <w:left w:w="20" w:type="dxa"/>
              <w:bottom w:w="0" w:type="dxa"/>
              <w:right w:w="20" w:type="dxa"/>
            </w:tcMar>
            <w:vAlign w:val="center"/>
          </w:tcPr>
          <w:p w:rsidR="00E61A21" w:rsidRDefault="00E61A21" w:rsidP="00DF399B">
            <w:pPr>
              <w:spacing w:line="560" w:lineRule="exact"/>
              <w:ind w:leftChars="50" w:left="105"/>
              <w:rPr>
                <w:rFonts w:ascii="仿宋_GB2312" w:hAnsi="宋体"/>
                <w:color w:val="000000"/>
                <w:sz w:val="24"/>
                <w:szCs w:val="24"/>
              </w:rPr>
            </w:pPr>
            <w:r>
              <w:rPr>
                <w:rFonts w:ascii="仿宋_GB2312" w:hAnsi="宋体" w:hint="eastAsia"/>
                <w:color w:val="000000"/>
                <w:sz w:val="24"/>
                <w:szCs w:val="24"/>
              </w:rPr>
              <w:t>高技能人才队伍</w:t>
            </w:r>
          </w:p>
        </w:tc>
        <w:tc>
          <w:tcPr>
            <w:tcW w:w="708" w:type="dxa"/>
            <w:tcMar>
              <w:top w:w="20" w:type="dxa"/>
              <w:left w:w="20" w:type="dxa"/>
              <w:bottom w:w="0" w:type="dxa"/>
              <w:right w:w="20" w:type="dxa"/>
            </w:tcMar>
            <w:vAlign w:val="center"/>
          </w:tcPr>
          <w:p w:rsidR="00E61A21" w:rsidRDefault="00E61A21">
            <w:pPr>
              <w:spacing w:line="560" w:lineRule="exact"/>
              <w:jc w:val="center"/>
              <w:rPr>
                <w:rFonts w:ascii="仿宋_GB2312" w:hAnsi="宋体"/>
                <w:color w:val="000000"/>
                <w:sz w:val="24"/>
                <w:szCs w:val="24"/>
              </w:rPr>
            </w:pPr>
            <w:r>
              <w:rPr>
                <w:rFonts w:ascii="仿宋_GB2312" w:hAnsi="宋体" w:hint="eastAsia"/>
                <w:color w:val="000000"/>
                <w:sz w:val="24"/>
                <w:szCs w:val="24"/>
              </w:rPr>
              <w:t>人</w:t>
            </w:r>
          </w:p>
        </w:tc>
        <w:tc>
          <w:tcPr>
            <w:tcW w:w="1134" w:type="dxa"/>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5315</w:t>
            </w:r>
          </w:p>
        </w:tc>
        <w:tc>
          <w:tcPr>
            <w:tcW w:w="1134" w:type="dxa"/>
            <w:tcBorders>
              <w:right w:val="single" w:sz="4" w:space="0" w:color="auto"/>
            </w:tcBorders>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6450</w:t>
            </w:r>
          </w:p>
        </w:tc>
        <w:tc>
          <w:tcPr>
            <w:tcW w:w="1614" w:type="dxa"/>
            <w:tcBorders>
              <w:left w:val="single" w:sz="4" w:space="0" w:color="auto"/>
            </w:tcBorders>
            <w:vAlign w:val="center"/>
          </w:tcPr>
          <w:p w:rsidR="00E61A21" w:rsidRDefault="00E61A21">
            <w:pPr>
              <w:spacing w:line="560" w:lineRule="exact"/>
              <w:jc w:val="center"/>
              <w:rPr>
                <w:rFonts w:ascii="宋体"/>
                <w:color w:val="000000"/>
                <w:sz w:val="24"/>
                <w:szCs w:val="24"/>
              </w:rPr>
            </w:pPr>
          </w:p>
        </w:tc>
      </w:tr>
      <w:tr w:rsidR="00E61A21">
        <w:trPr>
          <w:cantSplit/>
          <w:trHeight w:val="340"/>
          <w:jc w:val="center"/>
        </w:trPr>
        <w:tc>
          <w:tcPr>
            <w:tcW w:w="822" w:type="dxa"/>
            <w:vMerge/>
            <w:tcMar>
              <w:top w:w="20" w:type="dxa"/>
              <w:left w:w="20" w:type="dxa"/>
              <w:bottom w:w="0" w:type="dxa"/>
              <w:right w:w="20" w:type="dxa"/>
            </w:tcMar>
            <w:vAlign w:val="center"/>
          </w:tcPr>
          <w:p w:rsidR="00E61A21" w:rsidRDefault="00E61A21" w:rsidP="00DF399B">
            <w:pPr>
              <w:spacing w:line="560" w:lineRule="exact"/>
              <w:ind w:firstLineChars="200" w:firstLine="480"/>
              <w:rPr>
                <w:rFonts w:ascii="仿宋_GB2312" w:hAnsi="宋体"/>
                <w:color w:val="000000"/>
                <w:sz w:val="24"/>
                <w:szCs w:val="24"/>
              </w:rPr>
            </w:pPr>
          </w:p>
        </w:tc>
        <w:tc>
          <w:tcPr>
            <w:tcW w:w="3119" w:type="dxa"/>
            <w:tcMar>
              <w:top w:w="20" w:type="dxa"/>
              <w:left w:w="20" w:type="dxa"/>
              <w:bottom w:w="0" w:type="dxa"/>
              <w:right w:w="20" w:type="dxa"/>
            </w:tcMar>
            <w:vAlign w:val="center"/>
          </w:tcPr>
          <w:p w:rsidR="00E61A21" w:rsidRDefault="00E61A21" w:rsidP="00DF399B">
            <w:pPr>
              <w:spacing w:line="560" w:lineRule="exact"/>
              <w:ind w:leftChars="50" w:left="105"/>
              <w:rPr>
                <w:rFonts w:ascii="仿宋_GB2312" w:hAnsi="宋体"/>
                <w:color w:val="000000"/>
                <w:sz w:val="24"/>
                <w:szCs w:val="24"/>
              </w:rPr>
            </w:pPr>
            <w:r>
              <w:rPr>
                <w:rFonts w:ascii="仿宋_GB2312" w:hAnsi="宋体" w:hint="eastAsia"/>
                <w:color w:val="000000"/>
                <w:sz w:val="24"/>
                <w:szCs w:val="24"/>
              </w:rPr>
              <w:t>农村实用人才队伍</w:t>
            </w:r>
          </w:p>
        </w:tc>
        <w:tc>
          <w:tcPr>
            <w:tcW w:w="708" w:type="dxa"/>
            <w:tcMar>
              <w:top w:w="20" w:type="dxa"/>
              <w:left w:w="20" w:type="dxa"/>
              <w:bottom w:w="0" w:type="dxa"/>
              <w:right w:w="20" w:type="dxa"/>
            </w:tcMar>
            <w:vAlign w:val="center"/>
          </w:tcPr>
          <w:p w:rsidR="00E61A21" w:rsidRDefault="00E61A21">
            <w:pPr>
              <w:spacing w:line="560" w:lineRule="exact"/>
              <w:jc w:val="center"/>
              <w:rPr>
                <w:rFonts w:ascii="仿宋_GB2312" w:hAnsi="宋体"/>
                <w:color w:val="000000"/>
                <w:sz w:val="24"/>
                <w:szCs w:val="24"/>
              </w:rPr>
            </w:pPr>
            <w:r>
              <w:rPr>
                <w:rFonts w:ascii="仿宋_GB2312" w:hAnsi="宋体" w:hint="eastAsia"/>
                <w:color w:val="000000"/>
                <w:sz w:val="24"/>
                <w:szCs w:val="24"/>
              </w:rPr>
              <w:t>人</w:t>
            </w:r>
          </w:p>
        </w:tc>
        <w:tc>
          <w:tcPr>
            <w:tcW w:w="1134" w:type="dxa"/>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10942</w:t>
            </w:r>
          </w:p>
        </w:tc>
        <w:tc>
          <w:tcPr>
            <w:tcW w:w="1134" w:type="dxa"/>
            <w:tcBorders>
              <w:right w:val="single" w:sz="4" w:space="0" w:color="auto"/>
            </w:tcBorders>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12000</w:t>
            </w:r>
          </w:p>
        </w:tc>
        <w:tc>
          <w:tcPr>
            <w:tcW w:w="1614" w:type="dxa"/>
            <w:tcBorders>
              <w:left w:val="single" w:sz="4" w:space="0" w:color="auto"/>
            </w:tcBorders>
            <w:vAlign w:val="center"/>
          </w:tcPr>
          <w:p w:rsidR="00E61A21" w:rsidRDefault="00E61A21">
            <w:pPr>
              <w:spacing w:line="560" w:lineRule="exact"/>
              <w:jc w:val="center"/>
              <w:rPr>
                <w:rFonts w:ascii="宋体"/>
                <w:color w:val="000000"/>
                <w:sz w:val="24"/>
                <w:szCs w:val="24"/>
              </w:rPr>
            </w:pPr>
          </w:p>
        </w:tc>
      </w:tr>
      <w:tr w:rsidR="00E61A21">
        <w:trPr>
          <w:cantSplit/>
          <w:trHeight w:val="340"/>
          <w:jc w:val="center"/>
        </w:trPr>
        <w:tc>
          <w:tcPr>
            <w:tcW w:w="822" w:type="dxa"/>
            <w:vMerge/>
            <w:tcMar>
              <w:top w:w="20" w:type="dxa"/>
              <w:left w:w="20" w:type="dxa"/>
              <w:bottom w:w="0" w:type="dxa"/>
              <w:right w:w="20" w:type="dxa"/>
            </w:tcMar>
            <w:vAlign w:val="center"/>
          </w:tcPr>
          <w:p w:rsidR="00E61A21" w:rsidRDefault="00E61A21" w:rsidP="00DF399B">
            <w:pPr>
              <w:spacing w:line="560" w:lineRule="exact"/>
              <w:ind w:firstLineChars="200" w:firstLine="480"/>
              <w:rPr>
                <w:rFonts w:ascii="仿宋_GB2312" w:hAnsi="宋体"/>
                <w:color w:val="000000"/>
                <w:sz w:val="24"/>
                <w:szCs w:val="24"/>
              </w:rPr>
            </w:pPr>
          </w:p>
        </w:tc>
        <w:tc>
          <w:tcPr>
            <w:tcW w:w="3119" w:type="dxa"/>
            <w:tcMar>
              <w:top w:w="20" w:type="dxa"/>
              <w:left w:w="20" w:type="dxa"/>
              <w:bottom w:w="0" w:type="dxa"/>
              <w:right w:w="20" w:type="dxa"/>
            </w:tcMar>
            <w:vAlign w:val="center"/>
          </w:tcPr>
          <w:p w:rsidR="00E61A21" w:rsidRDefault="00E61A21" w:rsidP="00DF399B">
            <w:pPr>
              <w:spacing w:line="560" w:lineRule="exact"/>
              <w:ind w:leftChars="50" w:left="105"/>
              <w:rPr>
                <w:rFonts w:ascii="仿宋_GB2312" w:hAnsi="宋体"/>
                <w:color w:val="000000"/>
                <w:sz w:val="24"/>
                <w:szCs w:val="24"/>
              </w:rPr>
            </w:pPr>
            <w:r>
              <w:rPr>
                <w:rFonts w:ascii="仿宋_GB2312" w:hAnsi="宋体" w:hint="eastAsia"/>
                <w:color w:val="000000"/>
                <w:sz w:val="24"/>
                <w:szCs w:val="24"/>
              </w:rPr>
              <w:t>社会工作人才队伍</w:t>
            </w:r>
          </w:p>
        </w:tc>
        <w:tc>
          <w:tcPr>
            <w:tcW w:w="708" w:type="dxa"/>
            <w:tcMar>
              <w:top w:w="20" w:type="dxa"/>
              <w:left w:w="20" w:type="dxa"/>
              <w:bottom w:w="0" w:type="dxa"/>
              <w:right w:w="20" w:type="dxa"/>
            </w:tcMar>
            <w:vAlign w:val="center"/>
          </w:tcPr>
          <w:p w:rsidR="00E61A21" w:rsidRDefault="00E61A21">
            <w:pPr>
              <w:spacing w:line="560" w:lineRule="exact"/>
              <w:jc w:val="center"/>
              <w:rPr>
                <w:rFonts w:ascii="仿宋_GB2312" w:hAnsi="宋体"/>
                <w:color w:val="000000"/>
                <w:sz w:val="24"/>
                <w:szCs w:val="24"/>
              </w:rPr>
            </w:pPr>
            <w:r>
              <w:rPr>
                <w:rFonts w:ascii="仿宋_GB2312" w:hAnsi="宋体" w:hint="eastAsia"/>
                <w:color w:val="000000"/>
                <w:sz w:val="24"/>
                <w:szCs w:val="24"/>
              </w:rPr>
              <w:t>人</w:t>
            </w:r>
          </w:p>
        </w:tc>
        <w:tc>
          <w:tcPr>
            <w:tcW w:w="1134" w:type="dxa"/>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264</w:t>
            </w:r>
          </w:p>
        </w:tc>
        <w:tc>
          <w:tcPr>
            <w:tcW w:w="1134" w:type="dxa"/>
            <w:tcBorders>
              <w:right w:val="single" w:sz="4" w:space="0" w:color="auto"/>
            </w:tcBorders>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1000</w:t>
            </w:r>
          </w:p>
        </w:tc>
        <w:tc>
          <w:tcPr>
            <w:tcW w:w="1614" w:type="dxa"/>
            <w:tcBorders>
              <w:left w:val="single" w:sz="4" w:space="0" w:color="auto"/>
            </w:tcBorders>
            <w:vAlign w:val="center"/>
          </w:tcPr>
          <w:p w:rsidR="00E61A21" w:rsidRDefault="00E61A21">
            <w:pPr>
              <w:spacing w:line="560" w:lineRule="exact"/>
              <w:jc w:val="center"/>
              <w:rPr>
                <w:rFonts w:ascii="宋体"/>
                <w:color w:val="000000"/>
                <w:sz w:val="24"/>
                <w:szCs w:val="24"/>
              </w:rPr>
            </w:pPr>
          </w:p>
        </w:tc>
      </w:tr>
      <w:tr w:rsidR="00E61A21">
        <w:trPr>
          <w:cantSplit/>
          <w:trHeight w:val="580"/>
          <w:jc w:val="center"/>
        </w:trPr>
        <w:tc>
          <w:tcPr>
            <w:tcW w:w="3941" w:type="dxa"/>
            <w:gridSpan w:val="2"/>
            <w:tcBorders>
              <w:bottom w:val="single" w:sz="4" w:space="0" w:color="auto"/>
            </w:tcBorders>
            <w:tcMar>
              <w:top w:w="20" w:type="dxa"/>
              <w:left w:w="20" w:type="dxa"/>
              <w:bottom w:w="0" w:type="dxa"/>
              <w:right w:w="20" w:type="dxa"/>
            </w:tcMar>
            <w:vAlign w:val="center"/>
          </w:tcPr>
          <w:p w:rsidR="00E61A21" w:rsidRDefault="00E61A21" w:rsidP="00DF399B">
            <w:pPr>
              <w:spacing w:line="560" w:lineRule="exact"/>
              <w:ind w:leftChars="50" w:left="105"/>
              <w:rPr>
                <w:rFonts w:ascii="仿宋_GB2312" w:hAnsi="宋体"/>
                <w:bCs/>
                <w:color w:val="000000"/>
                <w:sz w:val="24"/>
                <w:szCs w:val="24"/>
              </w:rPr>
            </w:pPr>
            <w:r>
              <w:rPr>
                <w:rFonts w:ascii="仿宋_GB2312" w:hAnsi="宋体" w:hint="eastAsia"/>
                <w:color w:val="000000"/>
                <w:sz w:val="24"/>
                <w:szCs w:val="24"/>
              </w:rPr>
              <w:t>全县</w:t>
            </w:r>
            <w:r>
              <w:rPr>
                <w:rFonts w:ascii="仿宋_GB2312" w:hAnsi="宋体"/>
                <w:color w:val="000000"/>
                <w:sz w:val="24"/>
                <w:szCs w:val="24"/>
              </w:rPr>
              <w:t>R&amp;D</w:t>
            </w:r>
            <w:r>
              <w:rPr>
                <w:rFonts w:ascii="仿宋_GB2312" w:hAnsi="宋体" w:hint="eastAsia"/>
                <w:color w:val="000000"/>
                <w:sz w:val="24"/>
                <w:szCs w:val="24"/>
              </w:rPr>
              <w:t>活动人员数</w:t>
            </w:r>
          </w:p>
        </w:tc>
        <w:tc>
          <w:tcPr>
            <w:tcW w:w="708" w:type="dxa"/>
            <w:tcBorders>
              <w:bottom w:val="single" w:sz="4" w:space="0" w:color="auto"/>
            </w:tcBorders>
            <w:tcMar>
              <w:top w:w="20" w:type="dxa"/>
              <w:left w:w="20" w:type="dxa"/>
              <w:bottom w:w="0" w:type="dxa"/>
              <w:right w:w="20" w:type="dxa"/>
            </w:tcMar>
            <w:vAlign w:val="center"/>
          </w:tcPr>
          <w:p w:rsidR="00E61A21" w:rsidRDefault="00E61A21">
            <w:pPr>
              <w:spacing w:line="560" w:lineRule="exact"/>
              <w:jc w:val="center"/>
              <w:rPr>
                <w:rFonts w:ascii="仿宋_GB2312" w:hAnsi="宋体"/>
                <w:color w:val="000000"/>
                <w:sz w:val="24"/>
                <w:szCs w:val="24"/>
              </w:rPr>
            </w:pPr>
            <w:r>
              <w:rPr>
                <w:rFonts w:ascii="仿宋_GB2312" w:hAnsi="宋体" w:hint="eastAsia"/>
                <w:color w:val="000000"/>
                <w:sz w:val="24"/>
                <w:szCs w:val="24"/>
              </w:rPr>
              <w:t>人年</w:t>
            </w:r>
          </w:p>
        </w:tc>
        <w:tc>
          <w:tcPr>
            <w:tcW w:w="1134" w:type="dxa"/>
            <w:tcBorders>
              <w:bottom w:val="single" w:sz="4" w:space="0" w:color="auto"/>
            </w:tcBorders>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1125</w:t>
            </w:r>
          </w:p>
        </w:tc>
        <w:tc>
          <w:tcPr>
            <w:tcW w:w="1134" w:type="dxa"/>
            <w:tcBorders>
              <w:bottom w:val="single" w:sz="4" w:space="0" w:color="auto"/>
              <w:right w:val="single" w:sz="4" w:space="0" w:color="auto"/>
            </w:tcBorders>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1300</w:t>
            </w:r>
          </w:p>
        </w:tc>
        <w:tc>
          <w:tcPr>
            <w:tcW w:w="1614" w:type="dxa"/>
            <w:tcBorders>
              <w:left w:val="single" w:sz="4" w:space="0" w:color="auto"/>
              <w:bottom w:val="single" w:sz="4" w:space="0" w:color="auto"/>
            </w:tcBorders>
            <w:vAlign w:val="center"/>
          </w:tcPr>
          <w:p w:rsidR="00E61A21" w:rsidRDefault="00E61A21">
            <w:pPr>
              <w:spacing w:line="560" w:lineRule="exact"/>
              <w:jc w:val="center"/>
              <w:rPr>
                <w:rFonts w:ascii="宋体"/>
                <w:color w:val="000000"/>
                <w:sz w:val="24"/>
                <w:szCs w:val="24"/>
              </w:rPr>
            </w:pPr>
          </w:p>
        </w:tc>
      </w:tr>
      <w:tr w:rsidR="00E61A21">
        <w:trPr>
          <w:cantSplit/>
          <w:trHeight w:val="210"/>
          <w:jc w:val="center"/>
        </w:trPr>
        <w:tc>
          <w:tcPr>
            <w:tcW w:w="3941" w:type="dxa"/>
            <w:gridSpan w:val="2"/>
            <w:tcBorders>
              <w:top w:val="single" w:sz="4" w:space="0" w:color="auto"/>
              <w:bottom w:val="single" w:sz="4" w:space="0" w:color="auto"/>
            </w:tcBorders>
            <w:tcMar>
              <w:top w:w="20" w:type="dxa"/>
              <w:left w:w="20" w:type="dxa"/>
              <w:bottom w:w="0" w:type="dxa"/>
              <w:right w:w="20" w:type="dxa"/>
            </w:tcMar>
            <w:vAlign w:val="center"/>
          </w:tcPr>
          <w:p w:rsidR="00E61A21" w:rsidRDefault="00E61A21" w:rsidP="00DF399B">
            <w:pPr>
              <w:spacing w:line="560" w:lineRule="exact"/>
              <w:ind w:leftChars="50" w:left="105"/>
              <w:rPr>
                <w:rFonts w:ascii="仿宋_GB2312" w:hAnsi="宋体"/>
                <w:color w:val="000000"/>
                <w:sz w:val="24"/>
                <w:szCs w:val="24"/>
              </w:rPr>
            </w:pPr>
            <w:r>
              <w:rPr>
                <w:rFonts w:ascii="仿宋_GB2312" w:hAnsi="宋体" w:hint="eastAsia"/>
                <w:color w:val="000000"/>
                <w:sz w:val="24"/>
                <w:szCs w:val="24"/>
              </w:rPr>
              <w:t>“千人计划”专家</w:t>
            </w:r>
          </w:p>
        </w:tc>
        <w:tc>
          <w:tcPr>
            <w:tcW w:w="708" w:type="dxa"/>
            <w:tcBorders>
              <w:top w:val="single" w:sz="4" w:space="0" w:color="auto"/>
              <w:bottom w:val="single" w:sz="4" w:space="0" w:color="auto"/>
            </w:tcBorders>
            <w:tcMar>
              <w:top w:w="20" w:type="dxa"/>
              <w:left w:w="20" w:type="dxa"/>
              <w:bottom w:w="0" w:type="dxa"/>
              <w:right w:w="20" w:type="dxa"/>
            </w:tcMar>
            <w:vAlign w:val="center"/>
          </w:tcPr>
          <w:p w:rsidR="00E61A21" w:rsidRDefault="00E61A21">
            <w:pPr>
              <w:spacing w:line="560" w:lineRule="exact"/>
              <w:jc w:val="center"/>
              <w:rPr>
                <w:rFonts w:ascii="仿宋_GB2312" w:hAnsi="宋体"/>
                <w:color w:val="000000"/>
                <w:sz w:val="24"/>
                <w:szCs w:val="24"/>
              </w:rPr>
            </w:pPr>
            <w:r>
              <w:rPr>
                <w:rFonts w:ascii="仿宋_GB2312" w:hAnsi="宋体" w:hint="eastAsia"/>
                <w:color w:val="000000"/>
                <w:sz w:val="24"/>
                <w:szCs w:val="24"/>
              </w:rPr>
              <w:t>人</w:t>
            </w:r>
          </w:p>
        </w:tc>
        <w:tc>
          <w:tcPr>
            <w:tcW w:w="1134" w:type="dxa"/>
            <w:tcBorders>
              <w:top w:val="single" w:sz="4" w:space="0" w:color="auto"/>
              <w:bottom w:val="single" w:sz="4" w:space="0" w:color="auto"/>
            </w:tcBorders>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2</w:t>
            </w:r>
          </w:p>
        </w:tc>
        <w:tc>
          <w:tcPr>
            <w:tcW w:w="1134" w:type="dxa"/>
            <w:tcBorders>
              <w:top w:val="single" w:sz="4" w:space="0" w:color="auto"/>
              <w:bottom w:val="single" w:sz="4" w:space="0" w:color="auto"/>
              <w:right w:val="single" w:sz="4" w:space="0" w:color="auto"/>
            </w:tcBorders>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5</w:t>
            </w:r>
          </w:p>
        </w:tc>
        <w:tc>
          <w:tcPr>
            <w:tcW w:w="1614" w:type="dxa"/>
            <w:tcBorders>
              <w:top w:val="single" w:sz="4" w:space="0" w:color="auto"/>
              <w:left w:val="single" w:sz="4" w:space="0" w:color="auto"/>
              <w:bottom w:val="single" w:sz="4" w:space="0" w:color="auto"/>
            </w:tcBorders>
            <w:vAlign w:val="center"/>
          </w:tcPr>
          <w:p w:rsidR="00E61A21" w:rsidRDefault="00E61A21">
            <w:pPr>
              <w:spacing w:line="560" w:lineRule="exact"/>
              <w:jc w:val="center"/>
              <w:rPr>
                <w:rFonts w:ascii="宋体"/>
                <w:color w:val="000000"/>
                <w:sz w:val="24"/>
                <w:szCs w:val="24"/>
              </w:rPr>
            </w:pPr>
          </w:p>
        </w:tc>
      </w:tr>
      <w:tr w:rsidR="00E61A21">
        <w:trPr>
          <w:cantSplit/>
          <w:trHeight w:val="301"/>
          <w:jc w:val="center"/>
        </w:trPr>
        <w:tc>
          <w:tcPr>
            <w:tcW w:w="3941" w:type="dxa"/>
            <w:gridSpan w:val="2"/>
            <w:tcBorders>
              <w:top w:val="single" w:sz="4" w:space="0" w:color="auto"/>
            </w:tcBorders>
            <w:tcMar>
              <w:top w:w="20" w:type="dxa"/>
              <w:left w:w="20" w:type="dxa"/>
              <w:bottom w:w="0" w:type="dxa"/>
              <w:right w:w="20" w:type="dxa"/>
            </w:tcMar>
            <w:vAlign w:val="center"/>
          </w:tcPr>
          <w:p w:rsidR="00E61A21" w:rsidRDefault="00E61A21" w:rsidP="00DF399B">
            <w:pPr>
              <w:spacing w:line="560" w:lineRule="exact"/>
              <w:ind w:leftChars="50" w:left="105"/>
              <w:rPr>
                <w:rFonts w:ascii="仿宋_GB2312" w:hAnsi="宋体"/>
                <w:color w:val="000000"/>
                <w:sz w:val="24"/>
                <w:szCs w:val="24"/>
              </w:rPr>
            </w:pPr>
            <w:r>
              <w:rPr>
                <w:rFonts w:ascii="仿宋_GB2312" w:hAnsi="宋体"/>
                <w:color w:val="000000"/>
                <w:sz w:val="24"/>
                <w:szCs w:val="24"/>
              </w:rPr>
              <w:t>R</w:t>
            </w:r>
            <w:r>
              <w:rPr>
                <w:rFonts w:ascii="仿宋_GB2312" w:hAnsi="宋体" w:hint="eastAsia"/>
                <w:color w:val="000000"/>
                <w:sz w:val="24"/>
                <w:szCs w:val="24"/>
              </w:rPr>
              <w:t>＆</w:t>
            </w:r>
            <w:r>
              <w:rPr>
                <w:rFonts w:ascii="仿宋_GB2312" w:hAnsi="宋体"/>
                <w:color w:val="000000"/>
                <w:sz w:val="24"/>
                <w:szCs w:val="24"/>
              </w:rPr>
              <w:t>D</w:t>
            </w:r>
            <w:r>
              <w:rPr>
                <w:rFonts w:ascii="仿宋_GB2312" w:hAnsi="宋体" w:hint="eastAsia"/>
                <w:color w:val="000000"/>
                <w:sz w:val="24"/>
                <w:szCs w:val="24"/>
              </w:rPr>
              <w:t>经费支出占生产总值比重</w:t>
            </w:r>
          </w:p>
        </w:tc>
        <w:tc>
          <w:tcPr>
            <w:tcW w:w="708" w:type="dxa"/>
            <w:tcBorders>
              <w:top w:val="single" w:sz="4" w:space="0" w:color="auto"/>
            </w:tcBorders>
            <w:tcMar>
              <w:top w:w="20" w:type="dxa"/>
              <w:left w:w="20" w:type="dxa"/>
              <w:bottom w:w="0" w:type="dxa"/>
              <w:right w:w="20" w:type="dxa"/>
            </w:tcMar>
            <w:vAlign w:val="center"/>
          </w:tcPr>
          <w:p w:rsidR="00E61A21" w:rsidRDefault="00E61A21">
            <w:pPr>
              <w:spacing w:line="560" w:lineRule="exact"/>
              <w:jc w:val="center"/>
              <w:rPr>
                <w:rFonts w:ascii="仿宋_GB2312" w:hAnsi="宋体"/>
                <w:color w:val="000000"/>
                <w:sz w:val="24"/>
                <w:szCs w:val="24"/>
              </w:rPr>
            </w:pPr>
            <w:r>
              <w:rPr>
                <w:rFonts w:ascii="仿宋_GB2312" w:hAnsi="宋体"/>
                <w:color w:val="000000"/>
                <w:sz w:val="24"/>
                <w:szCs w:val="24"/>
              </w:rPr>
              <w:t>%</w:t>
            </w:r>
          </w:p>
        </w:tc>
        <w:tc>
          <w:tcPr>
            <w:tcW w:w="1134" w:type="dxa"/>
            <w:tcBorders>
              <w:top w:val="single" w:sz="4" w:space="0" w:color="auto"/>
            </w:tcBorders>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1.97</w:t>
            </w:r>
          </w:p>
        </w:tc>
        <w:tc>
          <w:tcPr>
            <w:tcW w:w="1134" w:type="dxa"/>
            <w:tcBorders>
              <w:top w:val="single" w:sz="4" w:space="0" w:color="auto"/>
              <w:right w:val="single" w:sz="4" w:space="0" w:color="auto"/>
            </w:tcBorders>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2.2</w:t>
            </w:r>
          </w:p>
        </w:tc>
        <w:tc>
          <w:tcPr>
            <w:tcW w:w="1614" w:type="dxa"/>
            <w:tcBorders>
              <w:top w:val="single" w:sz="4" w:space="0" w:color="auto"/>
              <w:left w:val="single" w:sz="4" w:space="0" w:color="auto"/>
            </w:tcBorders>
            <w:vAlign w:val="center"/>
          </w:tcPr>
          <w:p w:rsidR="00E61A21" w:rsidRDefault="00E61A21">
            <w:pPr>
              <w:spacing w:line="560" w:lineRule="exact"/>
              <w:jc w:val="center"/>
              <w:rPr>
                <w:rFonts w:ascii="宋体"/>
                <w:color w:val="000000"/>
                <w:sz w:val="24"/>
                <w:szCs w:val="24"/>
              </w:rPr>
            </w:pPr>
          </w:p>
        </w:tc>
      </w:tr>
      <w:tr w:rsidR="00E61A21">
        <w:trPr>
          <w:cantSplit/>
          <w:trHeight w:val="340"/>
          <w:jc w:val="center"/>
        </w:trPr>
        <w:tc>
          <w:tcPr>
            <w:tcW w:w="3941" w:type="dxa"/>
            <w:gridSpan w:val="2"/>
            <w:tcMar>
              <w:top w:w="20" w:type="dxa"/>
              <w:left w:w="20" w:type="dxa"/>
              <w:bottom w:w="0" w:type="dxa"/>
              <w:right w:w="20" w:type="dxa"/>
            </w:tcMar>
            <w:vAlign w:val="center"/>
          </w:tcPr>
          <w:p w:rsidR="00E61A21" w:rsidRDefault="00E61A21" w:rsidP="00DF399B">
            <w:pPr>
              <w:spacing w:line="560" w:lineRule="exact"/>
              <w:ind w:leftChars="50" w:left="105"/>
              <w:rPr>
                <w:rFonts w:ascii="仿宋_GB2312" w:hAnsi="宋体"/>
                <w:bCs/>
                <w:color w:val="000000"/>
                <w:sz w:val="24"/>
                <w:szCs w:val="24"/>
              </w:rPr>
            </w:pPr>
            <w:r>
              <w:rPr>
                <w:rFonts w:ascii="仿宋_GB2312" w:hAnsi="宋体" w:hint="eastAsia"/>
                <w:bCs/>
                <w:color w:val="000000"/>
                <w:sz w:val="24"/>
                <w:szCs w:val="24"/>
              </w:rPr>
              <w:t>高技能人才占技能劳动者比例</w:t>
            </w:r>
          </w:p>
        </w:tc>
        <w:tc>
          <w:tcPr>
            <w:tcW w:w="708" w:type="dxa"/>
            <w:tcMar>
              <w:top w:w="20" w:type="dxa"/>
              <w:left w:w="20" w:type="dxa"/>
              <w:bottom w:w="0" w:type="dxa"/>
              <w:right w:w="20" w:type="dxa"/>
            </w:tcMar>
            <w:vAlign w:val="center"/>
          </w:tcPr>
          <w:p w:rsidR="00E61A21" w:rsidRDefault="00E61A21">
            <w:pPr>
              <w:spacing w:line="560" w:lineRule="exact"/>
              <w:jc w:val="center"/>
              <w:rPr>
                <w:rFonts w:ascii="仿宋_GB2312" w:hAnsi="宋体"/>
                <w:color w:val="000000"/>
                <w:sz w:val="24"/>
                <w:szCs w:val="24"/>
              </w:rPr>
            </w:pPr>
            <w:r>
              <w:rPr>
                <w:rFonts w:ascii="仿宋_GB2312" w:hAnsi="宋体"/>
                <w:color w:val="000000"/>
                <w:sz w:val="24"/>
                <w:szCs w:val="24"/>
              </w:rPr>
              <w:t>%</w:t>
            </w:r>
          </w:p>
        </w:tc>
        <w:tc>
          <w:tcPr>
            <w:tcW w:w="1134" w:type="dxa"/>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color w:val="000000"/>
                <w:sz w:val="24"/>
                <w:szCs w:val="24"/>
              </w:rPr>
              <w:t>-</w:t>
            </w:r>
          </w:p>
        </w:tc>
        <w:tc>
          <w:tcPr>
            <w:tcW w:w="1134" w:type="dxa"/>
            <w:tcBorders>
              <w:right w:val="single" w:sz="4" w:space="0" w:color="auto"/>
            </w:tcBorders>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25</w:t>
            </w:r>
          </w:p>
        </w:tc>
        <w:tc>
          <w:tcPr>
            <w:tcW w:w="1614" w:type="dxa"/>
            <w:tcBorders>
              <w:left w:val="single" w:sz="4" w:space="0" w:color="auto"/>
            </w:tcBorders>
            <w:vAlign w:val="center"/>
          </w:tcPr>
          <w:p w:rsidR="00E61A21" w:rsidRDefault="00E61A21">
            <w:pPr>
              <w:spacing w:line="560" w:lineRule="exact"/>
              <w:jc w:val="center"/>
              <w:rPr>
                <w:rFonts w:ascii="宋体"/>
                <w:color w:val="000000"/>
                <w:sz w:val="24"/>
                <w:szCs w:val="24"/>
              </w:rPr>
            </w:pPr>
            <w:r>
              <w:rPr>
                <w:rFonts w:ascii="宋体" w:hAnsi="宋体" w:hint="eastAsia"/>
                <w:color w:val="000000"/>
                <w:sz w:val="24"/>
                <w:szCs w:val="24"/>
              </w:rPr>
              <w:t>市指标</w:t>
            </w:r>
          </w:p>
        </w:tc>
      </w:tr>
      <w:tr w:rsidR="00E61A21">
        <w:trPr>
          <w:cantSplit/>
          <w:trHeight w:val="340"/>
          <w:jc w:val="center"/>
        </w:trPr>
        <w:tc>
          <w:tcPr>
            <w:tcW w:w="3941" w:type="dxa"/>
            <w:gridSpan w:val="2"/>
            <w:tcMar>
              <w:top w:w="20" w:type="dxa"/>
              <w:left w:w="20" w:type="dxa"/>
              <w:bottom w:w="0" w:type="dxa"/>
              <w:right w:w="20" w:type="dxa"/>
            </w:tcMar>
            <w:vAlign w:val="center"/>
          </w:tcPr>
          <w:p w:rsidR="00E61A21" w:rsidRDefault="00E61A21" w:rsidP="00DF399B">
            <w:pPr>
              <w:spacing w:line="560" w:lineRule="exact"/>
              <w:ind w:leftChars="50" w:left="105" w:rightChars="50" w:right="105"/>
              <w:rPr>
                <w:rFonts w:ascii="仿宋_GB2312" w:hAnsi="宋体"/>
                <w:bCs/>
                <w:color w:val="000000"/>
                <w:sz w:val="24"/>
                <w:szCs w:val="24"/>
              </w:rPr>
            </w:pPr>
            <w:r>
              <w:rPr>
                <w:rFonts w:ascii="仿宋_GB2312" w:hAnsi="宋体" w:hint="eastAsia"/>
                <w:bCs/>
                <w:color w:val="000000"/>
                <w:sz w:val="24"/>
                <w:szCs w:val="24"/>
              </w:rPr>
              <w:t>新增劳动年龄人口平均受教育年限</w:t>
            </w:r>
          </w:p>
        </w:tc>
        <w:tc>
          <w:tcPr>
            <w:tcW w:w="708" w:type="dxa"/>
            <w:tcMar>
              <w:top w:w="20" w:type="dxa"/>
              <w:left w:w="20" w:type="dxa"/>
              <w:bottom w:w="0" w:type="dxa"/>
              <w:right w:w="20" w:type="dxa"/>
            </w:tcMar>
            <w:vAlign w:val="center"/>
          </w:tcPr>
          <w:p w:rsidR="00E61A21" w:rsidRDefault="00E61A21">
            <w:pPr>
              <w:spacing w:line="560" w:lineRule="exact"/>
              <w:jc w:val="center"/>
              <w:rPr>
                <w:rFonts w:ascii="仿宋_GB2312" w:hAnsi="宋体"/>
                <w:color w:val="000000"/>
                <w:sz w:val="24"/>
                <w:szCs w:val="24"/>
              </w:rPr>
            </w:pPr>
            <w:r>
              <w:rPr>
                <w:rFonts w:ascii="仿宋_GB2312" w:hAnsi="宋体"/>
                <w:color w:val="000000"/>
                <w:sz w:val="24"/>
                <w:szCs w:val="24"/>
              </w:rPr>
              <w:t>%</w:t>
            </w:r>
          </w:p>
        </w:tc>
        <w:tc>
          <w:tcPr>
            <w:tcW w:w="1134" w:type="dxa"/>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color w:val="000000"/>
                <w:sz w:val="24"/>
                <w:szCs w:val="24"/>
              </w:rPr>
              <w:t>-</w:t>
            </w:r>
          </w:p>
        </w:tc>
        <w:tc>
          <w:tcPr>
            <w:tcW w:w="1134" w:type="dxa"/>
            <w:tcBorders>
              <w:right w:val="single" w:sz="4" w:space="0" w:color="auto"/>
            </w:tcBorders>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color w:val="000000"/>
                <w:sz w:val="24"/>
                <w:szCs w:val="24"/>
              </w:rPr>
              <w:t>15</w:t>
            </w:r>
          </w:p>
        </w:tc>
        <w:tc>
          <w:tcPr>
            <w:tcW w:w="1614" w:type="dxa"/>
            <w:tcBorders>
              <w:left w:val="single" w:sz="4" w:space="0" w:color="auto"/>
            </w:tcBorders>
            <w:vAlign w:val="center"/>
          </w:tcPr>
          <w:p w:rsidR="00E61A21" w:rsidRDefault="00E61A21">
            <w:pPr>
              <w:spacing w:line="560" w:lineRule="exact"/>
              <w:jc w:val="center"/>
              <w:rPr>
                <w:rFonts w:ascii="宋体"/>
                <w:color w:val="000000"/>
                <w:sz w:val="24"/>
                <w:szCs w:val="24"/>
              </w:rPr>
            </w:pPr>
          </w:p>
        </w:tc>
      </w:tr>
      <w:tr w:rsidR="00E61A21">
        <w:trPr>
          <w:cantSplit/>
          <w:trHeight w:val="340"/>
          <w:jc w:val="center"/>
        </w:trPr>
        <w:tc>
          <w:tcPr>
            <w:tcW w:w="3941" w:type="dxa"/>
            <w:gridSpan w:val="2"/>
            <w:tcMar>
              <w:top w:w="20" w:type="dxa"/>
              <w:left w:w="20" w:type="dxa"/>
              <w:bottom w:w="0" w:type="dxa"/>
              <w:right w:w="20" w:type="dxa"/>
            </w:tcMar>
            <w:vAlign w:val="center"/>
          </w:tcPr>
          <w:p w:rsidR="00E61A21" w:rsidRDefault="00E61A21" w:rsidP="00DF399B">
            <w:pPr>
              <w:spacing w:line="560" w:lineRule="exact"/>
              <w:ind w:leftChars="50" w:left="105" w:rightChars="50" w:right="105"/>
              <w:rPr>
                <w:rFonts w:ascii="仿宋_GB2312" w:hAnsi="宋体"/>
                <w:bCs/>
                <w:color w:val="000000"/>
                <w:sz w:val="24"/>
                <w:szCs w:val="24"/>
              </w:rPr>
            </w:pPr>
            <w:r>
              <w:rPr>
                <w:rFonts w:ascii="仿宋_GB2312" w:hAnsi="宋体" w:hint="eastAsia"/>
                <w:bCs/>
                <w:color w:val="000000"/>
                <w:sz w:val="24"/>
                <w:szCs w:val="24"/>
              </w:rPr>
              <w:t>人才贡献率</w:t>
            </w:r>
          </w:p>
        </w:tc>
        <w:tc>
          <w:tcPr>
            <w:tcW w:w="708" w:type="dxa"/>
            <w:tcMar>
              <w:top w:w="20" w:type="dxa"/>
              <w:left w:w="20" w:type="dxa"/>
              <w:bottom w:w="0" w:type="dxa"/>
              <w:right w:w="20" w:type="dxa"/>
            </w:tcMar>
            <w:vAlign w:val="center"/>
          </w:tcPr>
          <w:p w:rsidR="00E61A21" w:rsidRDefault="00E61A21">
            <w:pPr>
              <w:spacing w:line="560" w:lineRule="exact"/>
              <w:jc w:val="center"/>
              <w:rPr>
                <w:rFonts w:ascii="仿宋_GB2312" w:hAnsi="宋体"/>
                <w:color w:val="000000"/>
                <w:sz w:val="24"/>
                <w:szCs w:val="24"/>
              </w:rPr>
            </w:pPr>
            <w:r>
              <w:rPr>
                <w:rFonts w:ascii="仿宋_GB2312" w:hAnsi="宋体"/>
                <w:bCs/>
                <w:color w:val="000000"/>
                <w:sz w:val="24"/>
                <w:szCs w:val="24"/>
              </w:rPr>
              <w:t>%</w:t>
            </w:r>
          </w:p>
        </w:tc>
        <w:tc>
          <w:tcPr>
            <w:tcW w:w="1134" w:type="dxa"/>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color w:val="000000"/>
                <w:sz w:val="24"/>
                <w:szCs w:val="24"/>
              </w:rPr>
              <w:t>-</w:t>
            </w:r>
          </w:p>
        </w:tc>
        <w:tc>
          <w:tcPr>
            <w:tcW w:w="1134" w:type="dxa"/>
            <w:tcBorders>
              <w:right w:val="single" w:sz="4" w:space="0" w:color="auto"/>
            </w:tcBorders>
            <w:tcMar>
              <w:top w:w="20" w:type="dxa"/>
              <w:left w:w="20" w:type="dxa"/>
              <w:bottom w:w="0" w:type="dxa"/>
              <w:right w:w="20" w:type="dxa"/>
            </w:tcMar>
            <w:vAlign w:val="center"/>
          </w:tcPr>
          <w:p w:rsidR="00E61A21" w:rsidRDefault="00E61A21">
            <w:pPr>
              <w:spacing w:line="560" w:lineRule="exact"/>
              <w:jc w:val="center"/>
              <w:rPr>
                <w:rFonts w:ascii="宋体"/>
                <w:color w:val="000000"/>
                <w:sz w:val="24"/>
                <w:szCs w:val="24"/>
              </w:rPr>
            </w:pPr>
            <w:r>
              <w:rPr>
                <w:rFonts w:ascii="宋体" w:hAnsi="宋体"/>
                <w:bCs/>
                <w:color w:val="000000"/>
                <w:sz w:val="24"/>
                <w:szCs w:val="24"/>
              </w:rPr>
              <w:t>39.5</w:t>
            </w:r>
          </w:p>
        </w:tc>
        <w:tc>
          <w:tcPr>
            <w:tcW w:w="1614" w:type="dxa"/>
            <w:tcBorders>
              <w:left w:val="single" w:sz="4" w:space="0" w:color="auto"/>
            </w:tcBorders>
            <w:vAlign w:val="center"/>
          </w:tcPr>
          <w:p w:rsidR="00E61A21" w:rsidRDefault="00E61A21">
            <w:pPr>
              <w:spacing w:line="560" w:lineRule="exact"/>
              <w:jc w:val="center"/>
              <w:rPr>
                <w:rFonts w:ascii="宋体"/>
                <w:color w:val="000000"/>
                <w:sz w:val="24"/>
                <w:szCs w:val="24"/>
              </w:rPr>
            </w:pPr>
            <w:r>
              <w:rPr>
                <w:rFonts w:ascii="宋体" w:hAnsi="宋体" w:hint="eastAsia"/>
                <w:color w:val="000000"/>
                <w:sz w:val="24"/>
                <w:szCs w:val="24"/>
              </w:rPr>
              <w:t>市指标</w:t>
            </w:r>
          </w:p>
        </w:tc>
      </w:tr>
    </w:tbl>
    <w:p w:rsidR="00E61A21" w:rsidRPr="001C11E0" w:rsidRDefault="00E61A21" w:rsidP="00DF399B">
      <w:pPr>
        <w:spacing w:line="620" w:lineRule="exact"/>
        <w:ind w:firstLineChars="200" w:firstLine="640"/>
        <w:rPr>
          <w:rFonts w:ascii="黑体" w:eastAsia="黑体"/>
          <w:color w:val="000000"/>
          <w:sz w:val="32"/>
          <w:szCs w:val="32"/>
        </w:rPr>
      </w:pPr>
      <w:bookmarkStart w:id="8" w:name="_Toc469611603"/>
      <w:r w:rsidRPr="001C11E0">
        <w:rPr>
          <w:rFonts w:ascii="黑体" w:eastAsia="黑体" w:hint="eastAsia"/>
          <w:color w:val="000000"/>
          <w:sz w:val="32"/>
          <w:szCs w:val="32"/>
        </w:rPr>
        <w:t>三、主要任务</w:t>
      </w:r>
      <w:bookmarkEnd w:id="8"/>
    </w:p>
    <w:p w:rsidR="00E61A21" w:rsidRPr="001C11E0" w:rsidRDefault="00E61A21" w:rsidP="00DF399B">
      <w:pPr>
        <w:spacing w:line="620" w:lineRule="exact"/>
        <w:ind w:firstLineChars="200" w:firstLine="640"/>
        <w:rPr>
          <w:rFonts w:ascii="楷体_GB2312" w:eastAsia="楷体_GB2312"/>
          <w:color w:val="000000"/>
          <w:sz w:val="32"/>
          <w:szCs w:val="32"/>
        </w:rPr>
      </w:pPr>
      <w:bookmarkStart w:id="9" w:name="_Toc469611604"/>
      <w:r w:rsidRPr="001C11E0">
        <w:rPr>
          <w:rFonts w:ascii="楷体_GB2312" w:eastAsia="楷体_GB2312" w:hint="eastAsia"/>
          <w:color w:val="000000"/>
          <w:sz w:val="32"/>
          <w:szCs w:val="32"/>
        </w:rPr>
        <w:t>（一）精准补短，加快人才资源集聚</w:t>
      </w:r>
      <w:bookmarkEnd w:id="9"/>
    </w:p>
    <w:p w:rsidR="00E61A21" w:rsidRDefault="00E61A21" w:rsidP="00DF399B">
      <w:pPr>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围绕我县“十三五”经济社会发展需求</w:t>
      </w:r>
      <w:r>
        <w:rPr>
          <w:rFonts w:ascii="仿宋_GB2312" w:eastAsia="仿宋_GB2312"/>
          <w:color w:val="000000"/>
          <w:sz w:val="32"/>
          <w:szCs w:val="32"/>
        </w:rPr>
        <w:t>,</w:t>
      </w:r>
      <w:r>
        <w:rPr>
          <w:rFonts w:ascii="仿宋_GB2312" w:eastAsia="仿宋_GB2312" w:hint="eastAsia"/>
          <w:color w:val="000000"/>
          <w:sz w:val="32"/>
          <w:szCs w:val="32"/>
        </w:rPr>
        <w:t>坚持县外引进与县内培养并重</w:t>
      </w:r>
      <w:r>
        <w:rPr>
          <w:rFonts w:ascii="仿宋_GB2312" w:eastAsia="仿宋_GB2312"/>
          <w:color w:val="000000"/>
          <w:sz w:val="32"/>
          <w:szCs w:val="32"/>
        </w:rPr>
        <w:t>,</w:t>
      </w:r>
      <w:r>
        <w:rPr>
          <w:rFonts w:ascii="仿宋_GB2312" w:eastAsia="仿宋_GB2312" w:hint="eastAsia"/>
          <w:color w:val="000000"/>
          <w:sz w:val="32"/>
          <w:szCs w:val="32"/>
        </w:rPr>
        <w:t>突出“高精尖缺”</w:t>
      </w:r>
      <w:r>
        <w:rPr>
          <w:rStyle w:val="FootnoteReference"/>
          <w:rFonts w:ascii="仿宋_GB2312" w:eastAsia="仿宋_GB2312"/>
          <w:color w:val="000000"/>
          <w:sz w:val="32"/>
          <w:szCs w:val="32"/>
        </w:rPr>
        <w:footnoteReference w:id="1"/>
      </w:r>
      <w:r>
        <w:rPr>
          <w:rFonts w:ascii="仿宋_GB2312" w:eastAsia="仿宋_GB2312" w:hint="eastAsia"/>
          <w:color w:val="000000"/>
          <w:sz w:val="32"/>
          <w:szCs w:val="32"/>
        </w:rPr>
        <w:t>导向</w:t>
      </w:r>
      <w:r>
        <w:rPr>
          <w:rFonts w:ascii="仿宋_GB2312" w:eastAsia="仿宋_GB2312"/>
          <w:color w:val="000000"/>
          <w:sz w:val="32"/>
          <w:szCs w:val="32"/>
        </w:rPr>
        <w:t>,</w:t>
      </w:r>
      <w:r>
        <w:rPr>
          <w:rFonts w:ascii="仿宋_GB2312" w:eastAsia="仿宋_GB2312" w:hint="eastAsia"/>
          <w:color w:val="000000"/>
          <w:sz w:val="32"/>
          <w:szCs w:val="32"/>
        </w:rPr>
        <w:t>着力优结构、精准补短板，统筹各类人才队伍建设，打造人才集聚“小高地”。</w:t>
      </w:r>
    </w:p>
    <w:p w:rsidR="00E61A21" w:rsidRDefault="00E61A21" w:rsidP="00DF399B">
      <w:pPr>
        <w:spacing w:line="62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rPr>
        <w:t>1</w:t>
      </w:r>
      <w:r>
        <w:rPr>
          <w:rFonts w:ascii="仿宋_GB2312" w:eastAsia="仿宋_GB2312" w:hAnsi="仿宋_GB2312" w:cs="仿宋_GB2312" w:hint="eastAsia"/>
          <w:b/>
          <w:bCs/>
          <w:color w:val="000000"/>
          <w:sz w:val="32"/>
          <w:szCs w:val="32"/>
        </w:rPr>
        <w:t>．大力培养引进高层次人才</w:t>
      </w:r>
    </w:p>
    <w:p w:rsidR="00E61A21" w:rsidRDefault="00E61A21" w:rsidP="00DF399B">
      <w:pPr>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围绕我县重点行业（领域），继续实施高层次人才“</w:t>
      </w:r>
      <w:r>
        <w:rPr>
          <w:rFonts w:ascii="仿宋_GB2312" w:eastAsia="仿宋_GB2312"/>
          <w:color w:val="000000"/>
          <w:sz w:val="32"/>
          <w:szCs w:val="32"/>
        </w:rPr>
        <w:t>5332</w:t>
      </w:r>
      <w:r>
        <w:rPr>
          <w:rFonts w:ascii="仿宋_GB2312" w:eastAsia="仿宋_GB2312" w:hint="eastAsia"/>
          <w:color w:val="000000"/>
          <w:sz w:val="32"/>
          <w:szCs w:val="32"/>
        </w:rPr>
        <w:t>计划”，主动对接“千人计划”和“万人计划”、省“</w:t>
      </w:r>
      <w:r>
        <w:rPr>
          <w:rFonts w:ascii="仿宋_GB2312" w:eastAsia="仿宋_GB2312"/>
          <w:color w:val="000000"/>
          <w:sz w:val="32"/>
          <w:szCs w:val="32"/>
        </w:rPr>
        <w:t>151</w:t>
      </w:r>
      <w:r>
        <w:rPr>
          <w:rFonts w:ascii="仿宋_GB2312" w:eastAsia="仿宋_GB2312" w:hint="eastAsia"/>
          <w:color w:val="000000"/>
          <w:sz w:val="32"/>
          <w:szCs w:val="32"/>
        </w:rPr>
        <w:t>”人才工程、省“海</w:t>
      </w:r>
      <w:r>
        <w:rPr>
          <w:rFonts w:ascii="仿宋_GB2312" w:eastAsia="仿宋_GB2312" w:hint="eastAsia"/>
          <w:sz w:val="32"/>
          <w:szCs w:val="32"/>
        </w:rPr>
        <w:t>外工程师”、市“绿谷精英”、市</w:t>
      </w:r>
      <w:r>
        <w:rPr>
          <w:rFonts w:ascii="仿宋_GB2312" w:eastAsia="仿宋_GB2312" w:hint="eastAsia"/>
          <w:color w:val="000000"/>
          <w:sz w:val="32"/>
          <w:szCs w:val="32"/>
        </w:rPr>
        <w:t>“</w:t>
      </w:r>
      <w:r>
        <w:rPr>
          <w:rFonts w:ascii="仿宋_GB2312" w:eastAsia="仿宋_GB2312"/>
          <w:color w:val="000000"/>
          <w:sz w:val="32"/>
          <w:szCs w:val="32"/>
        </w:rPr>
        <w:t>138</w:t>
      </w:r>
      <w:r>
        <w:rPr>
          <w:rFonts w:ascii="仿宋_GB2312" w:eastAsia="仿宋_GB2312" w:hint="eastAsia"/>
          <w:color w:val="000000"/>
          <w:sz w:val="32"/>
          <w:szCs w:val="32"/>
        </w:rPr>
        <w:t>”人才工程等，更大力度引进培育高层次创业创新人才、重点创业创新团队。更加注重团队式“规模引才”、靶向式“目标引才”、融合式“嫁接引才”、中介式“合作引才”、主动式“推介引才”等方式，提高引才的精准性。</w:t>
      </w:r>
    </w:p>
    <w:p w:rsidR="00E61A21" w:rsidRDefault="00E61A21" w:rsidP="00DF399B">
      <w:pPr>
        <w:spacing w:line="620" w:lineRule="exact"/>
        <w:ind w:firstLineChars="200" w:firstLine="643"/>
        <w:rPr>
          <w:rFonts w:ascii="黑体" w:eastAsia="黑体" w:hAnsi="黑体"/>
          <w:color w:val="000000"/>
          <w:sz w:val="32"/>
          <w:szCs w:val="32"/>
        </w:rPr>
      </w:pPr>
      <w:r>
        <w:rPr>
          <w:rFonts w:ascii="仿宋_GB2312" w:eastAsia="仿宋_GB2312" w:hAnsi="仿宋_GB2312" w:cs="仿宋_GB2312"/>
          <w:b/>
          <w:bCs/>
          <w:color w:val="000000"/>
          <w:sz w:val="32"/>
          <w:szCs w:val="32"/>
        </w:rPr>
        <w:t>2</w:t>
      </w:r>
      <w:r>
        <w:rPr>
          <w:rFonts w:ascii="仿宋_GB2312" w:eastAsia="仿宋_GB2312" w:hAnsi="仿宋_GB2312" w:cs="仿宋_GB2312" w:hint="eastAsia"/>
          <w:b/>
          <w:bCs/>
          <w:color w:val="000000"/>
          <w:sz w:val="32"/>
          <w:szCs w:val="32"/>
        </w:rPr>
        <w:t>．大力培育紧缺急需人才</w:t>
      </w:r>
      <w:r>
        <w:rPr>
          <w:rFonts w:ascii="黑体" w:eastAsia="黑体" w:hAnsi="黑体"/>
          <w:color w:val="000000"/>
          <w:sz w:val="32"/>
          <w:szCs w:val="32"/>
        </w:rPr>
        <w:t xml:space="preserve"> </w:t>
      </w:r>
    </w:p>
    <w:p w:rsidR="00E61A21" w:rsidRDefault="00E61A21" w:rsidP="00DF399B">
      <w:pPr>
        <w:spacing w:line="620" w:lineRule="exact"/>
        <w:ind w:firstLineChars="200" w:firstLine="640"/>
        <w:rPr>
          <w:rFonts w:ascii="仿宋_GB2312" w:eastAsia="仿宋_GB2312"/>
          <w:color w:val="000000"/>
          <w:sz w:val="32"/>
          <w:szCs w:val="32"/>
        </w:rPr>
      </w:pPr>
      <w:r>
        <w:rPr>
          <w:rFonts w:ascii="仿宋_GB2312" w:eastAsia="仿宋_GB2312" w:hint="eastAsia"/>
          <w:sz w:val="32"/>
          <w:szCs w:val="32"/>
        </w:rPr>
        <w:t>定期发布紧缺急需人才目录，重点围绕百亿产业、特色小镇建设，培养一批生态旅游、商贸金融、装备制造、时尚鞋服、特色农业、文化创意、规划建设、生态环保、项目管理等经济领域急需人才，推动石雕行业、国际商贸行业人才“小高地”建设取得较大突破。重点围绕城乡公共服务均等</w:t>
      </w:r>
      <w:r>
        <w:rPr>
          <w:rFonts w:ascii="仿宋_GB2312" w:eastAsia="仿宋_GB2312" w:hint="eastAsia"/>
          <w:color w:val="000000"/>
          <w:sz w:val="32"/>
          <w:szCs w:val="32"/>
        </w:rPr>
        <w:t>化、高水平全覆盖的需求，培养一批卫生、教育、健康、社会工作等社会领域紧缺人才，充分发挥“侨乡名教师”、“侨乡名医名护士”、“侨乡社工师”等选拔的示范带动作用，推动以点带面、整体推进。</w:t>
      </w:r>
    </w:p>
    <w:p w:rsidR="00E61A21" w:rsidRDefault="00E61A21" w:rsidP="00DF399B">
      <w:pPr>
        <w:spacing w:line="60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rPr>
        <w:t>3</w:t>
      </w:r>
      <w:r>
        <w:rPr>
          <w:rFonts w:ascii="仿宋_GB2312" w:eastAsia="仿宋_GB2312" w:hAnsi="仿宋_GB2312" w:cs="仿宋_GB2312" w:hint="eastAsia"/>
          <w:b/>
          <w:bCs/>
          <w:color w:val="000000"/>
          <w:sz w:val="32"/>
          <w:szCs w:val="32"/>
        </w:rPr>
        <w:t>．大力推动在外青田籍人才回归</w:t>
      </w:r>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完善青商数据库，提升智慧对接能力。继续开展侨商、青商、青籍专家学者“家乡行”等活动，充分发挥异地商会作用，重点围绕特色小镇、乡村旅游、社会事业等领域招才引智。在海外华侨密集地区，聘请引才大使，扩大并发挥好海外人才驿站作用，构建常态化人才联络网。</w:t>
      </w:r>
    </w:p>
    <w:p w:rsidR="00E61A21" w:rsidRDefault="00E61A21" w:rsidP="00DF399B">
      <w:pPr>
        <w:spacing w:line="60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rPr>
        <w:t>4</w:t>
      </w:r>
      <w:r>
        <w:rPr>
          <w:rFonts w:ascii="仿宋_GB2312" w:eastAsia="仿宋_GB2312" w:hAnsi="仿宋_GB2312" w:cs="仿宋_GB2312" w:hint="eastAsia"/>
          <w:b/>
          <w:bCs/>
          <w:color w:val="000000"/>
          <w:sz w:val="32"/>
          <w:szCs w:val="32"/>
        </w:rPr>
        <w:t>．统筹推进各支人才队伍建设</w:t>
      </w:r>
    </w:p>
    <w:p w:rsidR="00E61A21" w:rsidRDefault="00E61A21" w:rsidP="00DF399B">
      <w:pPr>
        <w:spacing w:line="600" w:lineRule="exact"/>
        <w:ind w:firstLineChars="200" w:firstLine="643"/>
        <w:rPr>
          <w:rFonts w:ascii="仿宋_GB2312" w:eastAsia="仿宋_GB2312"/>
          <w:sz w:val="32"/>
          <w:szCs w:val="32"/>
        </w:rPr>
      </w:pPr>
      <w:r>
        <w:rPr>
          <w:rFonts w:ascii="仿宋_GB2312" w:eastAsia="仿宋_GB2312" w:hAnsi="仿宋_GB2312" w:cs="仿宋_GB2312"/>
          <w:b/>
          <w:bCs/>
          <w:color w:val="000000"/>
          <w:sz w:val="32"/>
          <w:szCs w:val="32"/>
        </w:rPr>
        <w:t>——</w:t>
      </w:r>
      <w:r>
        <w:rPr>
          <w:rFonts w:ascii="仿宋_GB2312" w:eastAsia="仿宋_GB2312" w:hAnsi="仿宋_GB2312" w:cs="仿宋_GB2312" w:hint="eastAsia"/>
          <w:b/>
          <w:bCs/>
          <w:color w:val="000000"/>
          <w:sz w:val="32"/>
          <w:szCs w:val="32"/>
        </w:rPr>
        <w:t>党政人才队伍。</w:t>
      </w:r>
      <w:r>
        <w:rPr>
          <w:rFonts w:ascii="仿宋_GB2312" w:eastAsia="仿宋_GB2312" w:hint="eastAsia"/>
          <w:color w:val="000000"/>
          <w:sz w:val="32"/>
          <w:szCs w:val="32"/>
        </w:rPr>
        <w:t>以提高执政能力和领导水平为核心</w:t>
      </w:r>
      <w:r>
        <w:rPr>
          <w:rFonts w:ascii="仿宋_GB2312" w:eastAsia="仿宋_GB2312"/>
          <w:color w:val="000000"/>
          <w:sz w:val="32"/>
          <w:szCs w:val="32"/>
        </w:rPr>
        <w:t>,</w:t>
      </w:r>
      <w:r>
        <w:rPr>
          <w:rFonts w:ascii="仿宋_GB2312" w:eastAsia="仿宋_GB2312" w:hint="eastAsia"/>
          <w:color w:val="000000"/>
          <w:sz w:val="32"/>
          <w:szCs w:val="32"/>
        </w:rPr>
        <w:t>突出思想、道德、能力建设</w:t>
      </w:r>
      <w:r>
        <w:rPr>
          <w:rFonts w:ascii="仿宋_GB2312" w:eastAsia="仿宋_GB2312"/>
          <w:color w:val="000000"/>
          <w:sz w:val="32"/>
          <w:szCs w:val="32"/>
        </w:rPr>
        <w:t>,</w:t>
      </w:r>
      <w:r>
        <w:rPr>
          <w:rFonts w:ascii="仿宋_GB2312" w:eastAsia="仿宋_GB2312" w:hint="eastAsia"/>
          <w:color w:val="000000"/>
          <w:sz w:val="32"/>
          <w:szCs w:val="32"/>
        </w:rPr>
        <w:t>培养和打造一支善于协调推进“四个全面”战略布局、落实新发展理念的“狮子型”的高素质党政人才队伍。认真落实干部教育培训工作条例</w:t>
      </w:r>
      <w:r>
        <w:rPr>
          <w:rFonts w:ascii="仿宋_GB2312" w:eastAsia="仿宋_GB2312"/>
          <w:color w:val="000000"/>
          <w:sz w:val="32"/>
          <w:szCs w:val="32"/>
        </w:rPr>
        <w:t>,</w:t>
      </w:r>
      <w:r>
        <w:rPr>
          <w:rFonts w:ascii="仿宋_GB2312" w:eastAsia="仿宋_GB2312" w:hint="eastAsia"/>
          <w:color w:val="000000"/>
          <w:sz w:val="32"/>
          <w:szCs w:val="32"/>
        </w:rPr>
        <w:t>完善党政人才培训体系。加强后备干部队伍建设，注重从基层一线选拔党政人才。加强女干部、非中共党员干部的培养选拔工作。到</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w:t>
      </w:r>
      <w:r>
        <w:rPr>
          <w:rFonts w:ascii="仿宋_GB2312" w:eastAsia="仿宋_GB2312" w:hint="eastAsia"/>
          <w:color w:val="000000"/>
          <w:sz w:val="32"/>
          <w:szCs w:val="32"/>
        </w:rPr>
        <w:t>全县党政干部队伍保持在</w:t>
      </w:r>
      <w:r>
        <w:rPr>
          <w:rFonts w:ascii="仿宋_GB2312" w:eastAsia="仿宋_GB2312"/>
          <w:color w:val="000000"/>
          <w:sz w:val="32"/>
          <w:szCs w:val="32"/>
        </w:rPr>
        <w:t>2050</w:t>
      </w:r>
      <w:r>
        <w:rPr>
          <w:rFonts w:ascii="仿宋_GB2312" w:eastAsia="仿宋_GB2312" w:hint="eastAsia"/>
          <w:color w:val="000000"/>
          <w:sz w:val="32"/>
          <w:szCs w:val="32"/>
        </w:rPr>
        <w:t>人左右，结构更加</w:t>
      </w:r>
      <w:r>
        <w:rPr>
          <w:rFonts w:ascii="仿宋_GB2312" w:eastAsia="仿宋_GB2312" w:hint="eastAsia"/>
          <w:sz w:val="32"/>
          <w:szCs w:val="32"/>
        </w:rPr>
        <w:t>合理</w:t>
      </w:r>
      <w:r>
        <w:rPr>
          <w:rFonts w:ascii="仿宋_GB2312" w:eastAsia="仿宋_GB2312"/>
          <w:sz w:val="32"/>
          <w:szCs w:val="32"/>
        </w:rPr>
        <w:t>,</w:t>
      </w:r>
      <w:r>
        <w:rPr>
          <w:rFonts w:ascii="仿宋_GB2312" w:eastAsia="仿宋_GB2312" w:hint="eastAsia"/>
          <w:sz w:val="32"/>
          <w:szCs w:val="32"/>
        </w:rPr>
        <w:t>能力进一步增强。</w:t>
      </w:r>
    </w:p>
    <w:p w:rsidR="00E61A21" w:rsidRDefault="00E61A21" w:rsidP="00DF399B">
      <w:pPr>
        <w:spacing w:line="600" w:lineRule="exact"/>
        <w:ind w:firstLineChars="200" w:firstLine="643"/>
        <w:rPr>
          <w:rFonts w:ascii="仿宋_GB2312" w:eastAsia="仿宋_GB2312"/>
          <w:color w:val="000000"/>
          <w:sz w:val="32"/>
          <w:szCs w:val="32"/>
        </w:rPr>
      </w:pP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企业经营管理人才队伍。</w:t>
      </w:r>
      <w:r>
        <w:rPr>
          <w:rFonts w:ascii="仿宋_GB2312" w:eastAsia="仿宋_GB2312" w:hint="eastAsia"/>
          <w:sz w:val="32"/>
          <w:szCs w:val="32"/>
        </w:rPr>
        <w:t>以提高现代经营管理水平和企业竞争力为核心，以成长型中小企业家、职业经理人和企业中高层管理人员为重点，推进企业</w:t>
      </w:r>
      <w:r>
        <w:rPr>
          <w:rFonts w:ascii="仿宋_GB2312" w:eastAsia="仿宋_GB2312" w:hint="eastAsia"/>
          <w:color w:val="000000"/>
          <w:sz w:val="32"/>
          <w:szCs w:val="32"/>
        </w:rPr>
        <w:t>经营管理人才职业化、市场化、国际化，培养造就高素质企业经营管理人才队伍。争取到</w:t>
      </w:r>
      <w:r>
        <w:rPr>
          <w:rFonts w:ascii="仿宋_GB2312" w:eastAsia="仿宋_GB2312"/>
          <w:color w:val="000000"/>
          <w:sz w:val="32"/>
          <w:szCs w:val="32"/>
        </w:rPr>
        <w:t>2020</w:t>
      </w:r>
      <w:r>
        <w:rPr>
          <w:rFonts w:ascii="仿宋_GB2312" w:eastAsia="仿宋_GB2312" w:hint="eastAsia"/>
          <w:color w:val="000000"/>
          <w:sz w:val="32"/>
          <w:szCs w:val="32"/>
        </w:rPr>
        <w:t>年，全县企业经营管理人才达到</w:t>
      </w:r>
      <w:r>
        <w:rPr>
          <w:rFonts w:ascii="仿宋_GB2312" w:eastAsia="仿宋_GB2312"/>
          <w:color w:val="000000"/>
          <w:sz w:val="32"/>
          <w:szCs w:val="32"/>
        </w:rPr>
        <w:t>10500</w:t>
      </w:r>
      <w:r>
        <w:rPr>
          <w:rFonts w:ascii="仿宋_GB2312" w:eastAsia="仿宋_GB2312" w:hint="eastAsia"/>
          <w:color w:val="000000"/>
          <w:sz w:val="32"/>
          <w:szCs w:val="32"/>
        </w:rPr>
        <w:t>人以上。</w:t>
      </w:r>
    </w:p>
    <w:p w:rsidR="00E61A21" w:rsidRDefault="00E61A21" w:rsidP="008E57EE">
      <w:pPr>
        <w:spacing w:line="600" w:lineRule="exact"/>
        <w:ind w:firstLine="640"/>
        <w:rPr>
          <w:rFonts w:ascii="仿宋_GB2312" w:eastAsia="仿宋_GB2312"/>
          <w:color w:val="000000"/>
          <w:sz w:val="32"/>
          <w:szCs w:val="32"/>
        </w:rPr>
      </w:pPr>
      <w:r>
        <w:rPr>
          <w:rFonts w:ascii="仿宋_GB2312" w:eastAsia="仿宋_GB2312" w:hAnsi="仿宋_GB2312" w:cs="仿宋_GB2312"/>
          <w:b/>
          <w:bCs/>
          <w:color w:val="000000"/>
          <w:sz w:val="32"/>
          <w:szCs w:val="32"/>
        </w:rPr>
        <w:t>——</w:t>
      </w:r>
      <w:r>
        <w:rPr>
          <w:rFonts w:ascii="仿宋_GB2312" w:eastAsia="仿宋_GB2312" w:hAnsi="仿宋_GB2312" w:cs="仿宋_GB2312" w:hint="eastAsia"/>
          <w:b/>
          <w:bCs/>
          <w:color w:val="000000"/>
          <w:sz w:val="32"/>
          <w:szCs w:val="32"/>
        </w:rPr>
        <w:t>专业技术人才队伍。</w:t>
      </w:r>
      <w:r>
        <w:rPr>
          <w:rFonts w:ascii="仿宋_GB2312" w:eastAsia="仿宋_GB2312" w:hint="eastAsia"/>
          <w:color w:val="000000"/>
          <w:sz w:val="32"/>
          <w:szCs w:val="32"/>
        </w:rPr>
        <w:t>在经济、科技、卫生、教育、文化、体育、法律等领域</w:t>
      </w:r>
      <w:r>
        <w:rPr>
          <w:rFonts w:ascii="仿宋_GB2312" w:eastAsia="仿宋_GB2312"/>
          <w:color w:val="000000"/>
          <w:sz w:val="32"/>
          <w:szCs w:val="32"/>
        </w:rPr>
        <w:t>,</w:t>
      </w:r>
      <w:r>
        <w:rPr>
          <w:rFonts w:ascii="仿宋_GB2312" w:eastAsia="仿宋_GB2312" w:hint="eastAsia"/>
          <w:color w:val="000000"/>
          <w:sz w:val="32"/>
          <w:szCs w:val="32"/>
        </w:rPr>
        <w:t>培育一批满足经济社会需要的专业技术人才。重点围绕卫生、教育、文化等领域，制定加强基层专业技术人才队伍建设的措施。注重离退休专业技术人才的二次开发使用。争取到</w:t>
      </w:r>
      <w:r>
        <w:rPr>
          <w:rFonts w:ascii="仿宋_GB2312" w:eastAsia="仿宋_GB2312"/>
          <w:color w:val="000000"/>
          <w:sz w:val="32"/>
          <w:szCs w:val="32"/>
        </w:rPr>
        <w:t>2020</w:t>
      </w:r>
      <w:r>
        <w:rPr>
          <w:rFonts w:ascii="仿宋_GB2312" w:eastAsia="仿宋_GB2312" w:hint="eastAsia"/>
          <w:color w:val="000000"/>
          <w:sz w:val="32"/>
          <w:szCs w:val="32"/>
        </w:rPr>
        <w:t>年，全县专业技术人才队伍达到</w:t>
      </w:r>
      <w:r>
        <w:rPr>
          <w:rFonts w:ascii="仿宋_GB2312" w:eastAsia="仿宋_GB2312"/>
          <w:color w:val="000000"/>
          <w:sz w:val="32"/>
          <w:szCs w:val="32"/>
        </w:rPr>
        <w:t>13000</w:t>
      </w:r>
      <w:r>
        <w:rPr>
          <w:rFonts w:ascii="仿宋_GB2312" w:eastAsia="仿宋_GB2312" w:hint="eastAsia"/>
          <w:color w:val="000000"/>
          <w:sz w:val="32"/>
          <w:szCs w:val="32"/>
        </w:rPr>
        <w:t>人。</w:t>
      </w:r>
    </w:p>
    <w:p w:rsidR="00E61A21" w:rsidRDefault="00E61A21" w:rsidP="00DF399B">
      <w:pPr>
        <w:spacing w:line="600" w:lineRule="exact"/>
        <w:ind w:firstLineChars="200" w:firstLine="643"/>
        <w:rPr>
          <w:rFonts w:ascii="仿宋_GB2312" w:eastAsia="仿宋_GB2312"/>
          <w:color w:val="000000"/>
          <w:sz w:val="32"/>
          <w:szCs w:val="32"/>
        </w:rPr>
      </w:pPr>
      <w:r>
        <w:rPr>
          <w:rFonts w:ascii="仿宋_GB2312" w:eastAsia="仿宋_GB2312" w:hAnsi="仿宋_GB2312" w:cs="仿宋_GB2312"/>
          <w:b/>
          <w:bCs/>
          <w:color w:val="000000"/>
          <w:sz w:val="32"/>
          <w:szCs w:val="32"/>
        </w:rPr>
        <w:t>——</w:t>
      </w:r>
      <w:r>
        <w:rPr>
          <w:rFonts w:ascii="仿宋_GB2312" w:eastAsia="仿宋_GB2312" w:hAnsi="仿宋_GB2312" w:cs="仿宋_GB2312" w:hint="eastAsia"/>
          <w:b/>
          <w:bCs/>
          <w:color w:val="000000"/>
          <w:sz w:val="32"/>
          <w:szCs w:val="32"/>
        </w:rPr>
        <w:t>高技能人才队伍。</w:t>
      </w:r>
      <w:r>
        <w:rPr>
          <w:rFonts w:ascii="仿宋_GB2312" w:eastAsia="仿宋_GB2312" w:hint="eastAsia"/>
          <w:color w:val="000000"/>
          <w:sz w:val="32"/>
          <w:szCs w:val="32"/>
        </w:rPr>
        <w:t>以培养和引进企业应用型和创新型高技能人才为重点，传承弘扬“工匠精神”，通过公共实训基地、高技能人才培养基地等，加快重点行业（领域）急需紧缺高技能人才开发；实施校企对接、高技能名师与企业对接行动，为企业开展“超市式”、“模块化”培训。争取到</w:t>
      </w:r>
      <w:r>
        <w:rPr>
          <w:rFonts w:ascii="仿宋_GB2312" w:eastAsia="仿宋_GB2312"/>
          <w:color w:val="000000"/>
          <w:sz w:val="32"/>
          <w:szCs w:val="32"/>
        </w:rPr>
        <w:t>2020</w:t>
      </w:r>
      <w:r>
        <w:rPr>
          <w:rFonts w:ascii="仿宋_GB2312" w:eastAsia="仿宋_GB2312" w:hint="eastAsia"/>
          <w:color w:val="000000"/>
          <w:sz w:val="32"/>
          <w:szCs w:val="32"/>
        </w:rPr>
        <w:t>年，全县高技能人才队伍达到</w:t>
      </w:r>
      <w:r>
        <w:rPr>
          <w:rFonts w:ascii="仿宋_GB2312" w:eastAsia="仿宋_GB2312"/>
          <w:color w:val="000000"/>
          <w:sz w:val="32"/>
          <w:szCs w:val="32"/>
        </w:rPr>
        <w:t>6450</w:t>
      </w:r>
      <w:r>
        <w:rPr>
          <w:rFonts w:ascii="仿宋_GB2312" w:eastAsia="仿宋_GB2312" w:hint="eastAsia"/>
          <w:color w:val="000000"/>
          <w:sz w:val="32"/>
          <w:szCs w:val="32"/>
        </w:rPr>
        <w:t>人以上。</w:t>
      </w:r>
    </w:p>
    <w:p w:rsidR="00E61A21" w:rsidRDefault="00E61A21" w:rsidP="00DF399B">
      <w:pPr>
        <w:spacing w:line="600" w:lineRule="exact"/>
        <w:ind w:firstLineChars="200" w:firstLine="643"/>
        <w:rPr>
          <w:rFonts w:ascii="仿宋_GB2312" w:eastAsia="仿宋_GB2312"/>
          <w:color w:val="000000"/>
          <w:sz w:val="32"/>
          <w:szCs w:val="32"/>
        </w:rPr>
      </w:pPr>
      <w:r>
        <w:rPr>
          <w:rFonts w:ascii="仿宋_GB2312" w:eastAsia="仿宋_GB2312" w:hAnsi="仿宋_GB2312" w:cs="仿宋_GB2312"/>
          <w:b/>
          <w:bCs/>
          <w:color w:val="000000"/>
          <w:sz w:val="32"/>
          <w:szCs w:val="32"/>
        </w:rPr>
        <w:t>——</w:t>
      </w:r>
      <w:r>
        <w:rPr>
          <w:rFonts w:ascii="仿宋_GB2312" w:eastAsia="仿宋_GB2312" w:hAnsi="仿宋_GB2312" w:cs="仿宋_GB2312" w:hint="eastAsia"/>
          <w:b/>
          <w:bCs/>
          <w:color w:val="000000"/>
          <w:sz w:val="32"/>
          <w:szCs w:val="32"/>
        </w:rPr>
        <w:t>农村实用人才队伍。</w:t>
      </w:r>
      <w:r>
        <w:rPr>
          <w:rFonts w:ascii="仿宋_GB2312" w:eastAsia="仿宋_GB2312" w:hint="eastAsia"/>
          <w:color w:val="000000"/>
          <w:sz w:val="32"/>
          <w:szCs w:val="32"/>
        </w:rPr>
        <w:t>重点培养一批农业龙头企业负责人、专业合作社负责人、农产品加工企业管理者、农村经纪人和种养致富带头人等农村实用领军人才，一批农村规划、农村社区管理、民宿经营管理人才。争取到</w:t>
      </w:r>
      <w:r>
        <w:rPr>
          <w:rFonts w:ascii="仿宋_GB2312" w:eastAsia="仿宋_GB2312"/>
          <w:color w:val="000000"/>
          <w:sz w:val="32"/>
          <w:szCs w:val="32"/>
        </w:rPr>
        <w:t>2020</w:t>
      </w:r>
      <w:r>
        <w:rPr>
          <w:rFonts w:ascii="仿宋_GB2312" w:eastAsia="仿宋_GB2312" w:hint="eastAsia"/>
          <w:color w:val="000000"/>
          <w:sz w:val="32"/>
          <w:szCs w:val="32"/>
        </w:rPr>
        <w:t>年，农村实用人才队伍达到</w:t>
      </w:r>
      <w:r>
        <w:rPr>
          <w:rFonts w:ascii="仿宋_GB2312" w:eastAsia="仿宋_GB2312"/>
          <w:color w:val="000000"/>
          <w:sz w:val="32"/>
          <w:szCs w:val="32"/>
        </w:rPr>
        <w:t>12000</w:t>
      </w:r>
      <w:r>
        <w:rPr>
          <w:rFonts w:ascii="仿宋_GB2312" w:eastAsia="仿宋_GB2312" w:hint="eastAsia"/>
          <w:color w:val="000000"/>
          <w:sz w:val="32"/>
          <w:szCs w:val="32"/>
        </w:rPr>
        <w:t>人以上。</w:t>
      </w:r>
    </w:p>
    <w:p w:rsidR="00E61A21" w:rsidRDefault="00E61A21" w:rsidP="00C96DEF">
      <w:pPr>
        <w:spacing w:line="600" w:lineRule="exact"/>
        <w:ind w:firstLineChars="200" w:firstLine="643"/>
        <w:rPr>
          <w:rFonts w:ascii="仿宋_GB2312" w:eastAsia="仿宋_GB2312"/>
          <w:color w:val="000000"/>
          <w:sz w:val="32"/>
          <w:szCs w:val="32"/>
        </w:rPr>
      </w:pPr>
      <w:r>
        <w:rPr>
          <w:rFonts w:ascii="仿宋_GB2312" w:eastAsia="仿宋_GB2312" w:hAnsi="仿宋_GB2312" w:cs="仿宋_GB2312"/>
          <w:b/>
          <w:bCs/>
          <w:color w:val="000000"/>
          <w:sz w:val="32"/>
          <w:szCs w:val="32"/>
        </w:rPr>
        <w:t>——</w:t>
      </w:r>
      <w:r>
        <w:rPr>
          <w:rFonts w:ascii="仿宋_GB2312" w:eastAsia="仿宋_GB2312" w:hAnsi="仿宋_GB2312" w:cs="仿宋_GB2312" w:hint="eastAsia"/>
          <w:b/>
          <w:bCs/>
          <w:color w:val="000000"/>
          <w:sz w:val="32"/>
          <w:szCs w:val="32"/>
        </w:rPr>
        <w:t>社会工作人才队伍。</w:t>
      </w:r>
      <w:r>
        <w:rPr>
          <w:rFonts w:ascii="仿宋_GB2312" w:eastAsia="仿宋_GB2312" w:hint="eastAsia"/>
          <w:color w:val="000000"/>
          <w:sz w:val="32"/>
          <w:szCs w:val="32"/>
        </w:rPr>
        <w:t>着重培养一批社会福利、社会救助、扶贫济困、慈善事业、社区建设、婚姻家庭、精神卫生、群众文化等领域基层社会管理紧缺急需的人才，力争弥补“社工人才”短板。高度重视社会组织的主体作用，在规范管理的基础上，加大对社会组织的培育、孵化。争取到</w:t>
      </w:r>
      <w:r>
        <w:rPr>
          <w:rFonts w:ascii="仿宋_GB2312" w:eastAsia="仿宋_GB2312"/>
          <w:color w:val="000000"/>
          <w:sz w:val="32"/>
          <w:szCs w:val="32"/>
        </w:rPr>
        <w:t>2020</w:t>
      </w:r>
      <w:r>
        <w:rPr>
          <w:rFonts w:ascii="仿宋_GB2312" w:eastAsia="仿宋_GB2312" w:hint="eastAsia"/>
          <w:color w:val="000000"/>
          <w:sz w:val="32"/>
          <w:szCs w:val="32"/>
        </w:rPr>
        <w:t>年，全县社会工作人才队伍达到</w:t>
      </w:r>
      <w:r>
        <w:rPr>
          <w:rFonts w:ascii="仿宋_GB2312" w:eastAsia="仿宋_GB2312"/>
          <w:color w:val="000000"/>
          <w:sz w:val="32"/>
          <w:szCs w:val="32"/>
        </w:rPr>
        <w:t>1000</w:t>
      </w:r>
      <w:r>
        <w:rPr>
          <w:rFonts w:ascii="仿宋_GB2312" w:eastAsia="仿宋_GB2312" w:hint="eastAsia"/>
          <w:color w:val="000000"/>
          <w:sz w:val="32"/>
          <w:szCs w:val="32"/>
        </w:rPr>
        <w:t>人。</w:t>
      </w:r>
      <w:bookmarkStart w:id="10" w:name="_Toc469611605"/>
    </w:p>
    <w:p w:rsidR="00E61A21" w:rsidRPr="001C11E0" w:rsidRDefault="00E61A21" w:rsidP="00DF399B">
      <w:pPr>
        <w:spacing w:line="600" w:lineRule="exact"/>
        <w:ind w:firstLineChars="200" w:firstLine="640"/>
        <w:rPr>
          <w:rFonts w:ascii="楷体_GB2312" w:eastAsia="楷体_GB2312"/>
          <w:color w:val="000000"/>
          <w:sz w:val="32"/>
          <w:szCs w:val="32"/>
        </w:rPr>
      </w:pPr>
      <w:r w:rsidRPr="001C11E0">
        <w:rPr>
          <w:rFonts w:ascii="楷体_GB2312" w:eastAsia="楷体_GB2312" w:hint="eastAsia"/>
          <w:color w:val="000000"/>
          <w:sz w:val="32"/>
          <w:szCs w:val="32"/>
        </w:rPr>
        <w:t>（二）精准发力，提升人才使用水平</w:t>
      </w:r>
      <w:bookmarkEnd w:id="10"/>
    </w:p>
    <w:p w:rsidR="00E61A21" w:rsidRDefault="00E61A21" w:rsidP="008E57EE">
      <w:pPr>
        <w:spacing w:line="600" w:lineRule="exact"/>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坚持以用为本、实用至上，下好人才“先手棋”，注重引导人才走向企业、走向基层一线、走向主战场，在服务全县发展大局中实现价值、成就梦想。</w:t>
      </w:r>
    </w:p>
    <w:p w:rsidR="00E61A21" w:rsidRDefault="00E61A21" w:rsidP="00DF399B">
      <w:pPr>
        <w:spacing w:line="60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rPr>
        <w:t>1</w:t>
      </w:r>
      <w:r>
        <w:rPr>
          <w:rFonts w:ascii="仿宋_GB2312" w:eastAsia="仿宋_GB2312" w:hAnsi="仿宋_GB2312" w:cs="仿宋_GB2312" w:hint="eastAsia"/>
          <w:b/>
          <w:bCs/>
          <w:color w:val="000000"/>
          <w:sz w:val="32"/>
          <w:szCs w:val="32"/>
        </w:rPr>
        <w:t>．鼓励和引导优秀人才向企业集聚</w:t>
      </w:r>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深入推进科技特派员“进企”创业创新，推动科技成果转化。事业单位科研人才可以与单位签订离岗协议，明确离岗期间双方权利义务关系、社会保险、科研成果归属、收益分配等事项后，</w:t>
      </w:r>
      <w:r>
        <w:rPr>
          <w:rFonts w:ascii="仿宋_GB2312" w:eastAsia="仿宋_GB2312"/>
          <w:color w:val="000000"/>
          <w:sz w:val="32"/>
          <w:szCs w:val="32"/>
        </w:rPr>
        <w:t>5</w:t>
      </w:r>
      <w:r>
        <w:rPr>
          <w:rFonts w:ascii="仿宋_GB2312" w:eastAsia="仿宋_GB2312" w:hint="eastAsia"/>
          <w:color w:val="000000"/>
          <w:sz w:val="32"/>
          <w:szCs w:val="32"/>
        </w:rPr>
        <w:t>年内保留人事关系离岗创业。担任公益类、生产经营类事业单位中层领导职务、且从事教学科研任务的科研人员，经本单位批准可以在不涉及本人职务影响的企业兼职。事业单位科研人员承担企业科研项目，经费纳入单位统一管理，用途由企业与人才自行约定。</w:t>
      </w:r>
    </w:p>
    <w:p w:rsidR="00E61A21" w:rsidRDefault="00E61A21" w:rsidP="00DF399B">
      <w:pPr>
        <w:spacing w:line="60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rPr>
        <w:t>2</w:t>
      </w:r>
      <w:r>
        <w:rPr>
          <w:rFonts w:ascii="仿宋_GB2312" w:eastAsia="仿宋_GB2312" w:hAnsi="仿宋_GB2312" w:cs="仿宋_GB2312" w:hint="eastAsia"/>
          <w:b/>
          <w:bCs/>
          <w:color w:val="000000"/>
          <w:sz w:val="32"/>
          <w:szCs w:val="32"/>
        </w:rPr>
        <w:t>．畅通人才流动渠道</w:t>
      </w:r>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充分发挥用人主体在人才培养、吸引和使用中的主导作用，全面落实国有企事业单位和社会组织的用人自主权。公立医院、科研机构等可以设立特设岗位，引进急需紧缺高层次人才，不受岗位总量、岗位等级和结构比例限制。事业单位对急需紧缺的高层次人才，经主管部门审核，可单独制定收入分配倾斜政策，不纳入绩效工资总量；改进事业单位岗位管理模式，尝试建立动态调整机制和招录（聘）特殊人才由审批制改为备案制。合理提高国有企业经营管理人才市场化选聘比例，畅通各类企业人才流动渠道。</w:t>
      </w:r>
    </w:p>
    <w:p w:rsidR="00E61A21" w:rsidRDefault="00E61A21" w:rsidP="00DF399B">
      <w:pPr>
        <w:spacing w:line="60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rPr>
        <w:t>3</w:t>
      </w:r>
      <w:r>
        <w:rPr>
          <w:rFonts w:ascii="仿宋_GB2312" w:eastAsia="仿宋_GB2312" w:hAnsi="仿宋_GB2312" w:cs="仿宋_GB2312" w:hint="eastAsia"/>
          <w:b/>
          <w:bCs/>
          <w:color w:val="000000"/>
          <w:sz w:val="32"/>
          <w:szCs w:val="32"/>
        </w:rPr>
        <w:t>．促进人才城乡间合理配置</w:t>
      </w:r>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打破地域、行业、身份的界限，完善促进城乡人才双向流动机制。通过上挂锻炼、下派任职等形式，加大机关与基层人才的交流力度。配齐配强乡镇（街道）农技、文化、旅游等人员力量。对在农村基层和艰苦边远地区工作的教师、卫技、农技人员，在职务（职称）、待遇等方面实行倾斜政策。继续推进选聘大学生到农村任职工作，支持大学生“村官”自主创业，引导大学生“村官”有序流动，鼓励优秀农村青年回乡创业。</w:t>
      </w:r>
    </w:p>
    <w:p w:rsidR="00E61A21" w:rsidRPr="001C11E0" w:rsidRDefault="00E61A21" w:rsidP="00DF399B">
      <w:pPr>
        <w:spacing w:line="600" w:lineRule="exact"/>
        <w:ind w:firstLineChars="200" w:firstLine="640"/>
        <w:rPr>
          <w:rFonts w:ascii="楷体_GB2312" w:eastAsia="楷体_GB2312"/>
          <w:color w:val="000000"/>
          <w:sz w:val="32"/>
          <w:szCs w:val="32"/>
        </w:rPr>
      </w:pPr>
      <w:bookmarkStart w:id="11" w:name="_Toc469611606"/>
      <w:r w:rsidRPr="001C11E0">
        <w:rPr>
          <w:rFonts w:ascii="楷体_GB2312" w:eastAsia="楷体_GB2312" w:hint="eastAsia"/>
          <w:color w:val="000000"/>
          <w:sz w:val="32"/>
          <w:szCs w:val="32"/>
        </w:rPr>
        <w:t>（三）精准搭台，强化人才载体建设</w:t>
      </w:r>
      <w:bookmarkEnd w:id="11"/>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优化人才发展平台布局，形成高端平台“顶天立地”、众创空间“铺天盖地”的良好局面，使人才和平台从一开始就紧密结合，迅速形成生产力。</w:t>
      </w:r>
    </w:p>
    <w:p w:rsidR="00E61A21" w:rsidRDefault="00E61A21" w:rsidP="00DF399B">
      <w:pPr>
        <w:spacing w:line="60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rPr>
        <w:t>1</w:t>
      </w:r>
      <w:r>
        <w:rPr>
          <w:rFonts w:ascii="仿宋_GB2312" w:eastAsia="仿宋_GB2312" w:hAnsi="仿宋_GB2312" w:cs="仿宋_GB2312" w:hint="eastAsia"/>
          <w:b/>
          <w:bCs/>
          <w:color w:val="000000"/>
          <w:sz w:val="32"/>
          <w:szCs w:val="32"/>
        </w:rPr>
        <w:t>．推进科技创新载体建设</w:t>
      </w:r>
    </w:p>
    <w:p w:rsidR="00E61A21" w:rsidRDefault="00E61A21" w:rsidP="00DF399B">
      <w:pPr>
        <w:spacing w:line="600" w:lineRule="exact"/>
        <w:ind w:firstLineChars="200" w:firstLine="640"/>
        <w:rPr>
          <w:rFonts w:ascii="黑体" w:eastAsia="黑体" w:hAnsi="黑体"/>
          <w:color w:val="000000"/>
          <w:sz w:val="32"/>
          <w:szCs w:val="32"/>
        </w:rPr>
      </w:pPr>
      <w:r>
        <w:rPr>
          <w:rFonts w:ascii="仿宋_GB2312" w:eastAsia="仿宋_GB2312" w:hint="eastAsia"/>
          <w:color w:val="000000"/>
          <w:sz w:val="32"/>
          <w:szCs w:val="32"/>
        </w:rPr>
        <w:t>以入驻企业为主体，重点抓好企业（重点）研究院、重点实验室、企业技术（研发）中心、检测中心等创新平台建设，积极推进院士专家工作站、博士后科研工作站、技能大师工作室等建设，实现产业、科技、人才联动式发展。</w:t>
      </w:r>
    </w:p>
    <w:p w:rsidR="00E61A21" w:rsidRDefault="00E61A21" w:rsidP="00DF399B">
      <w:pPr>
        <w:spacing w:line="60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rPr>
        <w:t>2</w:t>
      </w:r>
      <w:r>
        <w:rPr>
          <w:rFonts w:ascii="仿宋_GB2312" w:eastAsia="仿宋_GB2312" w:hAnsi="仿宋_GB2312" w:cs="仿宋_GB2312" w:hint="eastAsia"/>
          <w:b/>
          <w:bCs/>
          <w:color w:val="000000"/>
          <w:sz w:val="32"/>
          <w:szCs w:val="32"/>
        </w:rPr>
        <w:t>．大力发展众创空间</w:t>
      </w:r>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搭建“互联网</w:t>
      </w:r>
      <w:r>
        <w:rPr>
          <w:rFonts w:ascii="仿宋_GB2312" w:eastAsia="仿宋_GB2312"/>
          <w:color w:val="000000"/>
          <w:sz w:val="32"/>
          <w:szCs w:val="32"/>
        </w:rPr>
        <w:t>+</w:t>
      </w:r>
      <w:r>
        <w:rPr>
          <w:rFonts w:ascii="仿宋_GB2312" w:eastAsia="仿宋_GB2312" w:hint="eastAsia"/>
          <w:color w:val="000000"/>
          <w:sz w:val="32"/>
          <w:szCs w:val="32"/>
        </w:rPr>
        <w:t>众创空间”新模式，实现创新与创业相结合、线</w:t>
      </w:r>
      <w:r>
        <w:rPr>
          <w:rFonts w:ascii="仿宋_GB2312" w:eastAsia="仿宋_GB2312" w:hint="eastAsia"/>
          <w:sz w:val="32"/>
          <w:szCs w:val="32"/>
        </w:rPr>
        <w:t>上与线下相结合、孵化与投资相结合。鼓励通过县电子商务公共服务中心、电子商务创业园、石雕电商孵化园等平台，开展网商培训、技术指导、电子商务平台建设，促进社会青年创新创业。发挥财政资金撬动作用，</w:t>
      </w:r>
      <w:r>
        <w:rPr>
          <w:rFonts w:ascii="仿宋_GB2312" w:eastAsia="仿宋_GB2312" w:hint="eastAsia"/>
          <w:color w:val="000000"/>
          <w:sz w:val="32"/>
          <w:szCs w:val="32"/>
        </w:rPr>
        <w:t>带动社会资本参与创业创新平台建设，大力培育创客空间、创新工场、青年驿站等新型孵化载体，发挥侨乡众创空间、电子信息众创孵化园等作用，支持众包、众扶、众筹等新模式，引导创业者向企业家转变。</w:t>
      </w:r>
    </w:p>
    <w:p w:rsidR="00E61A21" w:rsidRDefault="00E61A21" w:rsidP="00DF399B">
      <w:pPr>
        <w:spacing w:line="60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rPr>
        <w:t>3</w:t>
      </w:r>
      <w:r>
        <w:rPr>
          <w:rFonts w:ascii="仿宋_GB2312" w:eastAsia="仿宋_GB2312" w:hAnsi="仿宋_GB2312" w:cs="仿宋_GB2312" w:hint="eastAsia"/>
          <w:b/>
          <w:bCs/>
          <w:color w:val="000000"/>
          <w:sz w:val="32"/>
          <w:szCs w:val="32"/>
        </w:rPr>
        <w:t>．加强产学研协同创新</w:t>
      </w:r>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强化县科技创新服务中心功能，深化地校科技合作与交流。支持青田企业与浙江大学、浙江工业大学、浙江工商大学、丽水学院、省农科院等高校院所开展产学研协同创新，引导高校院所研发人员围绕企业生产一线的技术需求，开展联合攻关，兴建科技成果转化基地等。鼓励科技人员通过技术入股、股权激励等方式，与业主形成风险共担、利益共享的利益共同体。</w:t>
      </w:r>
    </w:p>
    <w:p w:rsidR="00E61A21" w:rsidRPr="001C11E0" w:rsidRDefault="00E61A21" w:rsidP="00DF399B">
      <w:pPr>
        <w:spacing w:line="600" w:lineRule="exact"/>
        <w:ind w:firstLineChars="200" w:firstLine="640"/>
        <w:rPr>
          <w:rFonts w:ascii="楷体_GB2312" w:eastAsia="楷体_GB2312"/>
          <w:color w:val="000000"/>
          <w:sz w:val="32"/>
          <w:szCs w:val="32"/>
        </w:rPr>
      </w:pPr>
      <w:bookmarkStart w:id="12" w:name="_Toc469611607"/>
      <w:r w:rsidRPr="001C11E0">
        <w:rPr>
          <w:rFonts w:ascii="楷体_GB2312" w:eastAsia="楷体_GB2312" w:hint="eastAsia"/>
          <w:color w:val="000000"/>
          <w:sz w:val="32"/>
          <w:szCs w:val="32"/>
        </w:rPr>
        <w:t>（四）精准施策，促进人才体制创新</w:t>
      </w:r>
      <w:bookmarkEnd w:id="12"/>
    </w:p>
    <w:p w:rsidR="00E61A21" w:rsidRDefault="00E61A21" w:rsidP="00DF399B">
      <w:pPr>
        <w:spacing w:line="600" w:lineRule="exact"/>
        <w:ind w:firstLineChars="200" w:firstLine="640"/>
        <w:rPr>
          <w:color w:val="000000"/>
          <w:sz w:val="32"/>
          <w:szCs w:val="32"/>
        </w:rPr>
      </w:pPr>
      <w:r>
        <w:rPr>
          <w:rFonts w:ascii="仿宋_GB2312" w:eastAsia="仿宋_GB2312" w:hint="eastAsia"/>
          <w:color w:val="000000"/>
          <w:sz w:val="32"/>
          <w:szCs w:val="32"/>
        </w:rPr>
        <w:t>在重新梳理、比较借鉴的基础上，研究出台“青田人才新政”，进一步释放人才发展活力，努力再造全市人才政策新优势。</w:t>
      </w:r>
    </w:p>
    <w:p w:rsidR="00E61A21" w:rsidRDefault="00E61A21" w:rsidP="008E57EE">
      <w:pPr>
        <w:spacing w:line="600" w:lineRule="exact"/>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rPr>
        <w:t xml:space="preserve">    1</w:t>
      </w:r>
      <w:r>
        <w:rPr>
          <w:rFonts w:ascii="仿宋_GB2312" w:eastAsia="仿宋_GB2312" w:hAnsi="仿宋_GB2312" w:cs="仿宋_GB2312" w:hint="eastAsia"/>
          <w:b/>
          <w:bCs/>
          <w:color w:val="000000"/>
          <w:sz w:val="32"/>
          <w:szCs w:val="32"/>
        </w:rPr>
        <w:t>．完善人才投资优先的财政保障政策</w:t>
      </w:r>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sz w:val="32"/>
          <w:szCs w:val="32"/>
        </w:rPr>
        <w:t>积极落实公共财政人才发展专项投入，优先保障对人才工作和人才发展重大项目实施的投入</w:t>
      </w:r>
      <w:r>
        <w:rPr>
          <w:rFonts w:ascii="仿宋_GB2312" w:eastAsia="仿宋_GB2312" w:hint="eastAsia"/>
          <w:b/>
          <w:sz w:val="32"/>
          <w:szCs w:val="32"/>
        </w:rPr>
        <w:t>。</w:t>
      </w:r>
      <w:r>
        <w:rPr>
          <w:rFonts w:ascii="仿宋_GB2312" w:eastAsia="仿宋_GB2312" w:hint="eastAsia"/>
          <w:sz w:val="32"/>
          <w:szCs w:val="32"/>
        </w:rPr>
        <w:t>加大各类人才专项经费统筹力度，提高人才专项经费使用效益。充分发挥产业基金的导向作用，建立“人才</w:t>
      </w:r>
      <w:r>
        <w:rPr>
          <w:rFonts w:ascii="仿宋_GB2312" w:eastAsia="仿宋_GB2312"/>
          <w:sz w:val="32"/>
          <w:szCs w:val="32"/>
        </w:rPr>
        <w:t>+</w:t>
      </w:r>
      <w:r>
        <w:rPr>
          <w:rFonts w:ascii="仿宋_GB2312" w:eastAsia="仿宋_GB2312" w:hint="eastAsia"/>
          <w:sz w:val="32"/>
          <w:szCs w:val="32"/>
        </w:rPr>
        <w:t>项目</w:t>
      </w:r>
      <w:r>
        <w:rPr>
          <w:rFonts w:ascii="仿宋_GB2312" w:eastAsia="仿宋_GB2312"/>
          <w:sz w:val="32"/>
          <w:szCs w:val="32"/>
        </w:rPr>
        <w:t>+</w:t>
      </w:r>
      <w:r>
        <w:rPr>
          <w:rFonts w:ascii="仿宋_GB2312" w:eastAsia="仿宋_GB2312" w:hint="eastAsia"/>
          <w:sz w:val="32"/>
          <w:szCs w:val="32"/>
        </w:rPr>
        <w:t>产业基</w:t>
      </w:r>
      <w:r>
        <w:rPr>
          <w:rFonts w:ascii="仿宋_GB2312" w:eastAsia="仿宋_GB2312" w:hint="eastAsia"/>
          <w:color w:val="000000"/>
          <w:sz w:val="32"/>
          <w:szCs w:val="32"/>
        </w:rPr>
        <w:t>金”良性互撑互促机制。充分发挥政府财政的杠杆作用，鼓励社会资本、民间资本加大投入，构建多元化人才投入体系。</w:t>
      </w:r>
    </w:p>
    <w:p w:rsidR="00E61A21" w:rsidRDefault="00E61A21" w:rsidP="00DF399B">
      <w:pPr>
        <w:spacing w:line="60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rPr>
        <w:t>2</w:t>
      </w:r>
      <w:r>
        <w:rPr>
          <w:rFonts w:ascii="仿宋_GB2312" w:eastAsia="仿宋_GB2312" w:hAnsi="仿宋_GB2312" w:cs="仿宋_GB2312" w:hint="eastAsia"/>
          <w:b/>
          <w:bCs/>
          <w:color w:val="000000"/>
          <w:sz w:val="32"/>
          <w:szCs w:val="32"/>
        </w:rPr>
        <w:t>．实施更开放、更积极、更有效的引才育才政策</w:t>
      </w:r>
    </w:p>
    <w:p w:rsidR="00E61A21" w:rsidRDefault="00E61A21" w:rsidP="008E57EE">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调整并优化高层次人才支持政策，推进项目化开发、订单式培养。完善创业扶持政策，注重创业基地、创业项目、创业师资“三库”建设。探索“海外智力</w:t>
      </w:r>
      <w:r>
        <w:rPr>
          <w:rFonts w:ascii="仿宋_GB2312" w:eastAsia="仿宋_GB2312"/>
          <w:color w:val="000000"/>
          <w:sz w:val="32"/>
          <w:szCs w:val="32"/>
        </w:rPr>
        <w:t>+</w:t>
      </w:r>
      <w:r>
        <w:rPr>
          <w:rFonts w:ascii="仿宋_GB2312" w:eastAsia="仿宋_GB2312" w:hint="eastAsia"/>
          <w:color w:val="000000"/>
          <w:sz w:val="32"/>
          <w:szCs w:val="32"/>
        </w:rPr>
        <w:t>资本</w:t>
      </w:r>
      <w:r>
        <w:rPr>
          <w:rFonts w:ascii="仿宋_GB2312" w:eastAsia="仿宋_GB2312"/>
          <w:color w:val="000000"/>
          <w:sz w:val="32"/>
          <w:szCs w:val="32"/>
        </w:rPr>
        <w:t>+</w:t>
      </w:r>
      <w:r>
        <w:rPr>
          <w:rFonts w:ascii="仿宋_GB2312" w:eastAsia="仿宋_GB2312" w:hint="eastAsia"/>
          <w:color w:val="000000"/>
          <w:sz w:val="32"/>
          <w:szCs w:val="32"/>
        </w:rPr>
        <w:t>民企”引才政策，扩大柔性引才范围，支持“周末工程师”、“海外工程师”紧缺急需人才引进，鼓励中老年资深专家来青工作。推广和提升重点学科团队建设的人才培养模式，探索实施重大引才活动服务外包。</w:t>
      </w:r>
    </w:p>
    <w:p w:rsidR="00E61A21" w:rsidRDefault="00E61A21" w:rsidP="008E57EE">
      <w:pPr>
        <w:spacing w:line="600" w:lineRule="exact"/>
        <w:ind w:firstLine="640"/>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rPr>
        <w:t>3</w:t>
      </w:r>
      <w:r>
        <w:rPr>
          <w:rFonts w:ascii="仿宋_GB2312" w:eastAsia="仿宋_GB2312" w:hAnsi="仿宋_GB2312" w:cs="仿宋_GB2312" w:hint="eastAsia"/>
          <w:b/>
          <w:bCs/>
          <w:color w:val="000000"/>
          <w:sz w:val="32"/>
          <w:szCs w:val="32"/>
        </w:rPr>
        <w:t>．优化人才激励评价政策</w:t>
      </w:r>
    </w:p>
    <w:p w:rsidR="00E61A21" w:rsidRDefault="00E61A21" w:rsidP="008E57EE">
      <w:pPr>
        <w:spacing w:line="600" w:lineRule="exact"/>
        <w:ind w:firstLine="640"/>
        <w:rPr>
          <w:rFonts w:ascii="仿宋_GB2312" w:eastAsia="仿宋_GB2312"/>
          <w:sz w:val="32"/>
          <w:szCs w:val="32"/>
        </w:rPr>
      </w:pPr>
      <w:r>
        <w:rPr>
          <w:rFonts w:ascii="仿宋_GB2312" w:eastAsia="仿宋_GB2312" w:hint="eastAsia"/>
          <w:color w:val="000000"/>
          <w:sz w:val="32"/>
          <w:szCs w:val="32"/>
        </w:rPr>
        <w:t>发挥政府、市场、专业组织、用人单位等多元评价主体作用，建立多维度的高层次人才评价机制。落实职称制度改革，将专利创造、标准制订及成果转化作为职称评审的重要依据。创新人才激励机制，合理分配职务科研成果转化收益，提高重要贡献人员和团队的收益比例，保障人才以知识、技能、管理等创新要素参与利益分配；对事业和科研人员实施“一个增加、四个不纳入</w:t>
      </w:r>
      <w:r>
        <w:rPr>
          <w:rStyle w:val="FootnoteReference"/>
          <w:rFonts w:ascii="仿宋_GB2312" w:eastAsia="仿宋_GB2312"/>
          <w:color w:val="000000"/>
          <w:sz w:val="32"/>
          <w:szCs w:val="32"/>
        </w:rPr>
        <w:footnoteReference w:id="2"/>
      </w:r>
      <w:r>
        <w:rPr>
          <w:rFonts w:ascii="仿宋_GB2312" w:eastAsia="仿宋_GB2312" w:hint="eastAsia"/>
          <w:color w:val="000000"/>
          <w:sz w:val="32"/>
          <w:szCs w:val="32"/>
        </w:rPr>
        <w:t>”绩效工资政策。更加注重本土优秀人才培养与选拔，对作出突出贡献、有参政议政能力的高</w:t>
      </w:r>
      <w:r>
        <w:rPr>
          <w:rFonts w:ascii="仿宋_GB2312" w:eastAsia="仿宋_GB2312" w:hint="eastAsia"/>
          <w:sz w:val="32"/>
          <w:szCs w:val="32"/>
        </w:rPr>
        <w:t>层次人才，优先推荐担任党代表、人大代表、政协委员和评先评优。更加注重本土优秀人才培养与选拔，探索建立本土优秀人才与高层次人才政策相衔接的激励机制。</w:t>
      </w:r>
    </w:p>
    <w:p w:rsidR="00E61A21" w:rsidRDefault="00E61A21" w:rsidP="008E57EE">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．拓宽人才创业投融资政策</w:t>
      </w:r>
    </w:p>
    <w:p w:rsidR="00E61A21" w:rsidRDefault="00E61A21" w:rsidP="008E57EE">
      <w:pPr>
        <w:spacing w:line="600" w:lineRule="exact"/>
        <w:ind w:firstLine="640"/>
        <w:rPr>
          <w:rFonts w:ascii="仿宋_GB2312" w:eastAsia="仿宋_GB2312"/>
          <w:sz w:val="32"/>
          <w:szCs w:val="32"/>
        </w:rPr>
      </w:pPr>
      <w:r>
        <w:rPr>
          <w:rFonts w:ascii="仿宋_GB2312" w:eastAsia="仿宋_GB2312" w:hint="eastAsia"/>
          <w:sz w:val="32"/>
          <w:szCs w:val="32"/>
        </w:rPr>
        <w:t>探索建立孵化器创业投资风险补偿政策，建立风险分担机制，引导金融机构加大对科技型企业、团队和项目的信贷支持。建立县科技成果转化引导基金，吸引社会资本、风险投资进入人才科技创新领域。建立人才服务银行体系，鼓励金融机构对符合条件的高层次人才创业融资给予多元化金融服务。</w:t>
      </w:r>
    </w:p>
    <w:p w:rsidR="00E61A21" w:rsidRPr="001C11E0" w:rsidRDefault="00E61A21" w:rsidP="008E57EE">
      <w:pPr>
        <w:spacing w:line="600" w:lineRule="exact"/>
        <w:ind w:firstLine="640"/>
        <w:rPr>
          <w:rFonts w:ascii="楷体_GB2312" w:eastAsia="楷体_GB2312"/>
          <w:sz w:val="32"/>
          <w:szCs w:val="32"/>
        </w:rPr>
      </w:pPr>
      <w:bookmarkStart w:id="13" w:name="_Toc469611608"/>
      <w:r w:rsidRPr="001C11E0">
        <w:rPr>
          <w:rFonts w:ascii="楷体_GB2312" w:eastAsia="楷体_GB2312" w:hint="eastAsia"/>
          <w:sz w:val="32"/>
          <w:szCs w:val="32"/>
        </w:rPr>
        <w:t>（五）精准给力，推动人才服务优化</w:t>
      </w:r>
      <w:bookmarkEnd w:id="13"/>
    </w:p>
    <w:p w:rsidR="00E61A21" w:rsidRDefault="00E61A21" w:rsidP="00DF399B">
      <w:pPr>
        <w:spacing w:line="60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rPr>
        <w:t>1</w:t>
      </w:r>
      <w:r>
        <w:rPr>
          <w:rFonts w:ascii="仿宋_GB2312" w:eastAsia="仿宋_GB2312" w:hAnsi="仿宋_GB2312" w:cs="仿宋_GB2312" w:hint="eastAsia"/>
          <w:b/>
          <w:bCs/>
          <w:color w:val="000000"/>
          <w:sz w:val="32"/>
          <w:szCs w:val="32"/>
        </w:rPr>
        <w:t>．制定人才服务管理清单</w:t>
      </w:r>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出台人才管理服务权力清单和责任清单，内容涵盖政策制定、队伍建设、人才培养引进、子女入学、职称评定、交流合作等人才工作各个领域，明确各相关单位和部门在推进人才工作中的权限和责任。推广实施创新券、创业券等政府购买公共服务新模式，对人才使用仪器设备、科技服务、创业租赁、创业孵化、研发设计等给予补贴。</w:t>
      </w:r>
    </w:p>
    <w:p w:rsidR="00E61A21" w:rsidRDefault="00E61A21" w:rsidP="00DF399B">
      <w:pPr>
        <w:spacing w:line="60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rPr>
        <w:t>2</w:t>
      </w:r>
      <w:r>
        <w:rPr>
          <w:rFonts w:ascii="仿宋_GB2312" w:eastAsia="仿宋_GB2312" w:hAnsi="仿宋_GB2312" w:cs="仿宋_GB2312" w:hint="eastAsia"/>
          <w:b/>
          <w:bCs/>
          <w:color w:val="000000"/>
          <w:sz w:val="32"/>
          <w:szCs w:val="32"/>
        </w:rPr>
        <w:t>．丰富完善人才服务卡制度</w:t>
      </w:r>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sz w:val="32"/>
          <w:szCs w:val="32"/>
        </w:rPr>
        <w:t>落实建立高</w:t>
      </w:r>
      <w:r>
        <w:rPr>
          <w:rFonts w:ascii="仿宋_GB2312" w:eastAsia="仿宋_GB2312" w:hint="eastAsia"/>
          <w:color w:val="000000"/>
          <w:sz w:val="32"/>
          <w:szCs w:val="32"/>
        </w:rPr>
        <w:t>层次人才“绿卡”、海外回归人才“红卡”制度，在创业落户、创业融资、家属随迁、子女就学、医疗保健、出入境签证等方面给予相应配套优惠政策和便利条件。</w:t>
      </w:r>
    </w:p>
    <w:p w:rsidR="00E61A21" w:rsidRDefault="00E61A21" w:rsidP="00DF399B">
      <w:pPr>
        <w:spacing w:line="60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rPr>
        <w:t>3</w:t>
      </w:r>
      <w:r>
        <w:rPr>
          <w:rFonts w:ascii="仿宋_GB2312" w:eastAsia="仿宋_GB2312" w:hAnsi="仿宋_GB2312" w:cs="仿宋_GB2312" w:hint="eastAsia"/>
          <w:b/>
          <w:bCs/>
          <w:color w:val="000000"/>
          <w:sz w:val="32"/>
          <w:szCs w:val="32"/>
        </w:rPr>
        <w:t>．构建“店小二”式人才协调服务机制</w:t>
      </w:r>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完善党政领导干部联系高层次人才制度，落实服务人才专项例会制度。组建分层分类联系人才网络，健全重点人才信息库，完善人才工作基层联系服务点，逐步形成上下联动、分工协作、同推共进的人才服务网络。组建一支“店小二”（代办员）队伍，实行重点人才服务项目代办，明确代办事项清单，真正实现“一张纸”、“一站式”精准服务。建立信息化人才服务平台，依托党建微平台、</w:t>
      </w:r>
      <w:r>
        <w:rPr>
          <w:rFonts w:ascii="仿宋_GB2312" w:eastAsia="仿宋_GB2312"/>
          <w:color w:val="000000"/>
          <w:sz w:val="32"/>
          <w:szCs w:val="32"/>
        </w:rPr>
        <w:t>QQ</w:t>
      </w:r>
      <w:r>
        <w:rPr>
          <w:rFonts w:ascii="仿宋_GB2312" w:eastAsia="仿宋_GB2312" w:hint="eastAsia"/>
          <w:color w:val="000000"/>
          <w:sz w:val="32"/>
          <w:szCs w:val="32"/>
        </w:rPr>
        <w:t>群、微信群等信息化手段，打造线上“人才之家”。</w:t>
      </w:r>
    </w:p>
    <w:p w:rsidR="00E61A21" w:rsidRPr="001C11E0" w:rsidRDefault="00E61A21" w:rsidP="00DF399B">
      <w:pPr>
        <w:spacing w:line="600" w:lineRule="exact"/>
        <w:ind w:firstLineChars="200" w:firstLine="640"/>
        <w:rPr>
          <w:rFonts w:ascii="黑体" w:eastAsia="黑体"/>
          <w:color w:val="000000"/>
          <w:sz w:val="32"/>
          <w:szCs w:val="32"/>
        </w:rPr>
      </w:pPr>
      <w:bookmarkStart w:id="14" w:name="_Toc469611609"/>
      <w:r w:rsidRPr="001C11E0">
        <w:rPr>
          <w:rFonts w:ascii="黑体" w:eastAsia="黑体" w:hint="eastAsia"/>
          <w:color w:val="000000"/>
          <w:sz w:val="32"/>
          <w:szCs w:val="32"/>
        </w:rPr>
        <w:t>四、重大工程</w:t>
      </w:r>
      <w:bookmarkEnd w:id="14"/>
    </w:p>
    <w:p w:rsidR="00E61A21" w:rsidRPr="001C11E0" w:rsidRDefault="00E61A21" w:rsidP="00DF399B">
      <w:pPr>
        <w:spacing w:line="600" w:lineRule="exact"/>
        <w:ind w:firstLineChars="200" w:firstLine="640"/>
        <w:rPr>
          <w:rFonts w:ascii="楷体_GB2312" w:eastAsia="楷体_GB2312" w:hAnsi="楷体" w:cs="楷体"/>
          <w:color w:val="000000"/>
        </w:rPr>
      </w:pPr>
      <w:bookmarkStart w:id="15" w:name="_Toc469611610"/>
      <w:r w:rsidRPr="001C11E0">
        <w:rPr>
          <w:rFonts w:ascii="楷体_GB2312" w:eastAsia="楷体_GB2312" w:hint="eastAsia"/>
          <w:color w:val="000000"/>
          <w:sz w:val="32"/>
          <w:szCs w:val="32"/>
        </w:rPr>
        <w:t>（一）高层次人才“</w:t>
      </w:r>
      <w:r w:rsidRPr="001C11E0">
        <w:rPr>
          <w:rFonts w:ascii="楷体_GB2312" w:eastAsia="楷体_GB2312"/>
          <w:color w:val="000000"/>
          <w:sz w:val="32"/>
          <w:szCs w:val="32"/>
        </w:rPr>
        <w:t>5332</w:t>
      </w:r>
      <w:r w:rsidRPr="001C11E0">
        <w:rPr>
          <w:rFonts w:ascii="楷体_GB2312" w:eastAsia="楷体_GB2312" w:hint="eastAsia"/>
          <w:color w:val="000000"/>
          <w:sz w:val="32"/>
          <w:szCs w:val="32"/>
        </w:rPr>
        <w:t>计划”</w:t>
      </w:r>
      <w:bookmarkEnd w:id="15"/>
    </w:p>
    <w:p w:rsidR="00E61A21" w:rsidRDefault="00E61A21" w:rsidP="00DF399B">
      <w:pPr>
        <w:spacing w:line="600" w:lineRule="exact"/>
        <w:ind w:firstLineChars="200" w:firstLine="640"/>
        <w:jc w:val="left"/>
        <w:rPr>
          <w:rFonts w:ascii="仿宋_GB2312" w:eastAsia="仿宋_GB2312"/>
          <w:sz w:val="32"/>
          <w:szCs w:val="32"/>
        </w:rPr>
      </w:pPr>
      <w:r>
        <w:rPr>
          <w:rFonts w:ascii="仿宋_GB2312" w:eastAsia="仿宋_GB2312" w:hint="eastAsia"/>
          <w:color w:val="000000"/>
          <w:sz w:val="32"/>
          <w:szCs w:val="32"/>
        </w:rPr>
        <w:t>到</w:t>
      </w:r>
      <w:r>
        <w:rPr>
          <w:rFonts w:ascii="仿宋_GB2312" w:eastAsia="仿宋_GB2312"/>
          <w:color w:val="000000"/>
          <w:sz w:val="32"/>
          <w:szCs w:val="32"/>
        </w:rPr>
        <w:t>2020</w:t>
      </w:r>
      <w:r>
        <w:rPr>
          <w:rFonts w:ascii="仿宋_GB2312" w:eastAsia="仿宋_GB2312" w:hint="eastAsia"/>
          <w:color w:val="000000"/>
          <w:sz w:val="32"/>
          <w:szCs w:val="32"/>
        </w:rPr>
        <w:t>年，培养和引进</w:t>
      </w:r>
      <w:r>
        <w:rPr>
          <w:rFonts w:ascii="仿宋_GB2312" w:eastAsia="仿宋_GB2312"/>
          <w:color w:val="000000"/>
          <w:sz w:val="32"/>
          <w:szCs w:val="32"/>
        </w:rPr>
        <w:t>500</w:t>
      </w:r>
      <w:r>
        <w:rPr>
          <w:rFonts w:ascii="仿宋_GB2312" w:eastAsia="仿宋_GB2312" w:hint="eastAsia"/>
          <w:color w:val="000000"/>
          <w:sz w:val="32"/>
          <w:szCs w:val="32"/>
        </w:rPr>
        <w:t>名具有高级专业技术资格的高职称人才、</w:t>
      </w:r>
      <w:r>
        <w:rPr>
          <w:rFonts w:ascii="仿宋_GB2312" w:eastAsia="仿宋_GB2312"/>
          <w:color w:val="000000"/>
          <w:sz w:val="32"/>
          <w:szCs w:val="32"/>
        </w:rPr>
        <w:t>300</w:t>
      </w:r>
      <w:r>
        <w:rPr>
          <w:rFonts w:ascii="仿宋_GB2312" w:eastAsia="仿宋_GB2312" w:hint="eastAsia"/>
          <w:color w:val="000000"/>
          <w:sz w:val="32"/>
          <w:szCs w:val="32"/>
        </w:rPr>
        <w:t>名具有硕士以上学位的高学历人才、</w:t>
      </w:r>
      <w:r>
        <w:rPr>
          <w:rFonts w:ascii="仿宋_GB2312" w:eastAsia="仿宋_GB2312"/>
          <w:color w:val="000000"/>
          <w:sz w:val="32"/>
          <w:szCs w:val="32"/>
        </w:rPr>
        <w:t>30</w:t>
      </w:r>
      <w:r>
        <w:rPr>
          <w:rFonts w:ascii="仿宋_GB2312" w:eastAsia="仿宋_GB2312" w:hint="eastAsia"/>
          <w:color w:val="000000"/>
          <w:sz w:val="32"/>
          <w:szCs w:val="32"/>
        </w:rPr>
        <w:t>名国内外高层次创业创新人才（力争</w:t>
      </w:r>
      <w:r>
        <w:rPr>
          <w:rFonts w:ascii="仿宋_GB2312" w:eastAsia="仿宋_GB2312"/>
          <w:color w:val="000000"/>
          <w:sz w:val="32"/>
          <w:szCs w:val="32"/>
        </w:rPr>
        <w:t>8</w:t>
      </w:r>
      <w:r>
        <w:rPr>
          <w:rFonts w:ascii="仿宋_GB2312" w:eastAsia="仿宋_GB2312" w:hint="eastAsia"/>
          <w:color w:val="000000"/>
          <w:sz w:val="32"/>
          <w:szCs w:val="32"/>
        </w:rPr>
        <w:t>名以上进入“省千人计划”、“</w:t>
      </w:r>
      <w:r>
        <w:rPr>
          <w:rFonts w:ascii="仿宋_GB2312" w:eastAsia="仿宋_GB2312" w:hint="eastAsia"/>
          <w:sz w:val="32"/>
          <w:szCs w:val="32"/>
        </w:rPr>
        <w:t>省万人计划”）、</w:t>
      </w:r>
      <w:r>
        <w:rPr>
          <w:rFonts w:ascii="仿宋_GB2312" w:eastAsia="仿宋_GB2312"/>
          <w:sz w:val="32"/>
          <w:szCs w:val="32"/>
        </w:rPr>
        <w:t xml:space="preserve"> 20</w:t>
      </w:r>
      <w:r>
        <w:rPr>
          <w:rFonts w:ascii="仿宋_GB2312" w:eastAsia="仿宋_GB2312" w:hint="eastAsia"/>
          <w:sz w:val="32"/>
          <w:szCs w:val="32"/>
        </w:rPr>
        <w:t>个重点创业创新团队。支持</w:t>
      </w:r>
      <w:r>
        <w:rPr>
          <w:rFonts w:ascii="仿宋_GB2312" w:eastAsia="仿宋_GB2312" w:hint="eastAsia"/>
          <w:color w:val="000000"/>
          <w:sz w:val="32"/>
          <w:szCs w:val="32"/>
        </w:rPr>
        <w:t>各类海内外高层次人才以项目合作、智力入股、兼职兼薪、成果推广转化、特聘岗位等各种形式来我县开展人才智力服</w:t>
      </w:r>
      <w:r>
        <w:rPr>
          <w:rFonts w:ascii="仿宋_GB2312" w:eastAsia="仿宋_GB2312" w:hint="eastAsia"/>
          <w:sz w:val="32"/>
          <w:szCs w:val="32"/>
        </w:rPr>
        <w:t>务。</w:t>
      </w:r>
    </w:p>
    <w:p w:rsidR="00E61A21" w:rsidRPr="001C11E0" w:rsidRDefault="00E61A21" w:rsidP="00DF399B">
      <w:pPr>
        <w:spacing w:line="600" w:lineRule="exact"/>
        <w:ind w:firstLineChars="200" w:firstLine="640"/>
        <w:jc w:val="left"/>
        <w:rPr>
          <w:rFonts w:ascii="楷体_GB2312" w:eastAsia="楷体_GB2312"/>
          <w:color w:val="000000"/>
          <w:sz w:val="32"/>
          <w:szCs w:val="32"/>
        </w:rPr>
      </w:pPr>
      <w:bookmarkStart w:id="16" w:name="_Toc469611611"/>
      <w:r w:rsidRPr="001C11E0">
        <w:rPr>
          <w:rFonts w:ascii="楷体_GB2312" w:eastAsia="楷体_GB2312" w:hint="eastAsia"/>
          <w:color w:val="000000"/>
          <w:sz w:val="32"/>
          <w:szCs w:val="32"/>
        </w:rPr>
        <w:t>（二）在外青田籍人才回归工程</w:t>
      </w:r>
      <w:bookmarkEnd w:id="16"/>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以深化华侨要素回流和青商回归工程为重点，以青商回归创业园、进口商品城、华侨总部经济、全域旅游开发等为招才引智、招新引优平台，实施“侨乡青年英才回归”计划，注重筹人、筹智、筹资、筹渠道等众筹方式，更加注重第二代、第三代在外青田籍青年才俊回乡创新创业，着力吸引上</w:t>
      </w:r>
      <w:r>
        <w:rPr>
          <w:rFonts w:ascii="仿宋_GB2312" w:eastAsia="仿宋_GB2312"/>
          <w:color w:val="000000"/>
          <w:sz w:val="32"/>
          <w:szCs w:val="32"/>
        </w:rPr>
        <w:t>1000</w:t>
      </w:r>
      <w:r>
        <w:rPr>
          <w:rFonts w:ascii="仿宋_GB2312" w:eastAsia="仿宋_GB2312" w:hint="eastAsia"/>
          <w:color w:val="000000"/>
          <w:sz w:val="32"/>
          <w:szCs w:val="32"/>
        </w:rPr>
        <w:t>名海外和县外青田籍人才回流创业、反哺家乡。建立“外脑咨询机制”，将青商精英纳入“青田智库”。</w:t>
      </w:r>
    </w:p>
    <w:p w:rsidR="00E61A21" w:rsidRPr="001C11E0" w:rsidRDefault="00E61A21" w:rsidP="00DF399B">
      <w:pPr>
        <w:spacing w:line="600" w:lineRule="exact"/>
        <w:ind w:firstLineChars="200" w:firstLine="640"/>
        <w:jc w:val="left"/>
        <w:rPr>
          <w:rFonts w:ascii="楷体_GB2312" w:eastAsia="楷体_GB2312"/>
          <w:color w:val="000000"/>
          <w:sz w:val="32"/>
          <w:szCs w:val="32"/>
        </w:rPr>
      </w:pPr>
      <w:bookmarkStart w:id="17" w:name="_Toc469611612"/>
      <w:r w:rsidRPr="001C11E0">
        <w:rPr>
          <w:rFonts w:ascii="楷体_GB2312" w:eastAsia="楷体_GB2312" w:hint="eastAsia"/>
          <w:color w:val="000000"/>
          <w:sz w:val="32"/>
          <w:szCs w:val="32"/>
        </w:rPr>
        <w:t>（三）优秀企业家培养工程</w:t>
      </w:r>
      <w:bookmarkEnd w:id="17"/>
    </w:p>
    <w:p w:rsidR="00E61A21" w:rsidRDefault="00E61A21" w:rsidP="00DF399B">
      <w:pPr>
        <w:spacing w:line="600" w:lineRule="exact"/>
        <w:ind w:firstLineChars="200" w:firstLine="640"/>
        <w:rPr>
          <w:rFonts w:ascii="仿宋_GB2312" w:eastAsia="仿宋_GB2312"/>
          <w:sz w:val="32"/>
          <w:szCs w:val="32"/>
        </w:rPr>
      </w:pPr>
      <w:r>
        <w:rPr>
          <w:rFonts w:ascii="仿宋_GB2312" w:eastAsia="仿宋_GB2312" w:hint="eastAsia"/>
          <w:sz w:val="32"/>
          <w:szCs w:val="32"/>
        </w:rPr>
        <w:t>着眼于提高企业现代经营管理水平和核心竞争力，每年组织一批企业高级经营管理人才到国内外知名高校、职业经理学院等机构进行教育培训，到发达地区和知名企业考察学习，更新知识、开阔视野、增强才干，全面提高战略规划、资本运作、人力资源管理、金融物流、国际贸易等专业知识水平和能力。到</w:t>
      </w:r>
      <w:r>
        <w:rPr>
          <w:rFonts w:ascii="仿宋_GB2312" w:eastAsia="仿宋_GB2312"/>
          <w:sz w:val="32"/>
          <w:szCs w:val="32"/>
        </w:rPr>
        <w:t>2020</w:t>
      </w:r>
      <w:r>
        <w:rPr>
          <w:rFonts w:ascii="仿宋_GB2312" w:eastAsia="仿宋_GB2312" w:hint="eastAsia"/>
          <w:sz w:val="32"/>
          <w:szCs w:val="32"/>
        </w:rPr>
        <w:t>年，培养造就</w:t>
      </w:r>
      <w:r>
        <w:rPr>
          <w:rFonts w:ascii="仿宋_GB2312" w:eastAsia="仿宋_GB2312"/>
          <w:sz w:val="32"/>
          <w:szCs w:val="32"/>
        </w:rPr>
        <w:t>100</w:t>
      </w:r>
      <w:r>
        <w:rPr>
          <w:rFonts w:ascii="仿宋_GB2312" w:eastAsia="仿宋_GB2312" w:hint="eastAsia"/>
          <w:sz w:val="32"/>
          <w:szCs w:val="32"/>
        </w:rPr>
        <w:t>名左右具有世界眼光、战略思维、创新精神和现代经营管理水平的优秀企业家，并积极对接“市知名企业家培育计划”。实施青年企业家培育导师制，选聘</w:t>
      </w:r>
      <w:r>
        <w:rPr>
          <w:rFonts w:ascii="仿宋_GB2312" w:eastAsia="仿宋_GB2312"/>
          <w:sz w:val="32"/>
          <w:szCs w:val="32"/>
        </w:rPr>
        <w:t>30</w:t>
      </w:r>
      <w:r>
        <w:rPr>
          <w:rFonts w:ascii="仿宋_GB2312" w:eastAsia="仿宋_GB2312" w:hint="eastAsia"/>
          <w:sz w:val="32"/>
          <w:szCs w:val="32"/>
        </w:rPr>
        <w:t>名青籍知名企业家、侨领对青年企业家进行一对一培训。</w:t>
      </w:r>
    </w:p>
    <w:p w:rsidR="00E61A21" w:rsidRPr="00357FF4" w:rsidRDefault="00E61A21" w:rsidP="00DF399B">
      <w:pPr>
        <w:spacing w:line="600" w:lineRule="exact"/>
        <w:ind w:firstLineChars="200" w:firstLine="640"/>
        <w:rPr>
          <w:rFonts w:ascii="楷体_GB2312" w:eastAsia="楷体_GB2312"/>
          <w:sz w:val="32"/>
          <w:szCs w:val="32"/>
        </w:rPr>
      </w:pPr>
      <w:bookmarkStart w:id="18" w:name="_Toc471334480"/>
      <w:r w:rsidRPr="00357FF4">
        <w:rPr>
          <w:rFonts w:ascii="楷体_GB2312" w:eastAsia="楷体_GB2312" w:hint="eastAsia"/>
          <w:sz w:val="32"/>
          <w:szCs w:val="32"/>
        </w:rPr>
        <w:t>（四）科技特派员工程</w:t>
      </w:r>
      <w:bookmarkEnd w:id="18"/>
    </w:p>
    <w:p w:rsidR="00E61A21" w:rsidRDefault="00E61A21" w:rsidP="00DF399B">
      <w:pPr>
        <w:spacing w:line="600" w:lineRule="exact"/>
        <w:ind w:firstLineChars="200" w:firstLine="640"/>
        <w:rPr>
          <w:rFonts w:ascii="仿宋_GB2312" w:eastAsia="仿宋_GB2312"/>
          <w:sz w:val="32"/>
          <w:szCs w:val="32"/>
        </w:rPr>
      </w:pPr>
      <w:r>
        <w:rPr>
          <w:rFonts w:ascii="仿宋_GB2312" w:eastAsia="仿宋_GB2312" w:hint="eastAsia"/>
          <w:sz w:val="32"/>
          <w:szCs w:val="32"/>
        </w:rPr>
        <w:t>充分发挥科技特派员在果蔬栽培与加工技术、养殖技术、林特业技术、工业技术等四个专业领域作用，支持培育一批由科技特派员领办、创办、协办的科技型企业和农业经营组织，建设一批科技特派员创业链或创业基地，借力引进和推广一批适合青田的科技新产品、新品种、高新技术，带动一批企业主和创客参与科技特派员科技创业行动，努力打造科技特派员“创业洼地”。</w:t>
      </w:r>
    </w:p>
    <w:p w:rsidR="00E61A21" w:rsidRPr="006456F9" w:rsidRDefault="00E61A21" w:rsidP="00DF399B">
      <w:pPr>
        <w:spacing w:line="600" w:lineRule="exact"/>
        <w:ind w:firstLineChars="200" w:firstLine="640"/>
        <w:rPr>
          <w:rFonts w:ascii="楷体_GB2312" w:eastAsia="楷体_GB2312"/>
          <w:sz w:val="32"/>
          <w:szCs w:val="32"/>
        </w:rPr>
      </w:pPr>
      <w:bookmarkStart w:id="19" w:name="_Toc469611613"/>
      <w:r w:rsidRPr="006456F9">
        <w:rPr>
          <w:rFonts w:ascii="楷体_GB2312" w:eastAsia="楷体_GB2312" w:hint="eastAsia"/>
          <w:sz w:val="32"/>
          <w:szCs w:val="32"/>
        </w:rPr>
        <w:t>（五）“金蓝领”高技能人才开发工程</w:t>
      </w:r>
      <w:bookmarkEnd w:id="19"/>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继续推行首席技师、技能大师工作室、劳模创新工作室等制度，鼓励企业开展名师带徒、岗位练兵、技能竞赛等活动，充分发挥高技能人才在技术创新、工艺创新和带徒传技等方面的重要作用。加强高技能人才培养基地、技师研修站建设，组织企业在岗职工、失业人员、农村劳动力、大中专毕业生等人群开展职业技能培训，培养造就一支数量充足、梯次合理、技艺精湛的高技能人才队伍。到</w:t>
      </w:r>
      <w:r>
        <w:rPr>
          <w:rFonts w:ascii="仿宋_GB2312" w:eastAsia="仿宋_GB2312"/>
          <w:color w:val="000000"/>
          <w:sz w:val="32"/>
          <w:szCs w:val="32"/>
        </w:rPr>
        <w:t>2020</w:t>
      </w:r>
      <w:r>
        <w:rPr>
          <w:rFonts w:ascii="仿宋_GB2312" w:eastAsia="仿宋_GB2312" w:hint="eastAsia"/>
          <w:color w:val="000000"/>
          <w:sz w:val="32"/>
          <w:szCs w:val="32"/>
        </w:rPr>
        <w:t>年，新增省“首席技师”</w:t>
      </w:r>
      <w:r>
        <w:rPr>
          <w:rFonts w:ascii="仿宋_GB2312" w:eastAsia="仿宋_GB2312"/>
          <w:color w:val="000000"/>
          <w:sz w:val="32"/>
          <w:szCs w:val="32"/>
        </w:rPr>
        <w:t>1</w:t>
      </w:r>
      <w:r>
        <w:rPr>
          <w:rFonts w:ascii="仿宋_GB2312" w:eastAsia="仿宋_GB2312" w:hint="eastAsia"/>
          <w:color w:val="000000"/>
          <w:sz w:val="32"/>
          <w:szCs w:val="32"/>
        </w:rPr>
        <w:t>人以上、市“首席技师”</w:t>
      </w:r>
      <w:r>
        <w:rPr>
          <w:rFonts w:ascii="仿宋_GB2312" w:eastAsia="仿宋_GB2312"/>
          <w:color w:val="000000"/>
          <w:sz w:val="32"/>
          <w:szCs w:val="32"/>
        </w:rPr>
        <w:t>3</w:t>
      </w:r>
      <w:r>
        <w:rPr>
          <w:rFonts w:ascii="仿宋_GB2312" w:eastAsia="仿宋_GB2312" w:hint="eastAsia"/>
          <w:color w:val="000000"/>
          <w:sz w:val="32"/>
          <w:szCs w:val="32"/>
        </w:rPr>
        <w:t>人以上、市级技能大师工作室</w:t>
      </w:r>
      <w:r>
        <w:rPr>
          <w:rFonts w:ascii="仿宋_GB2312" w:eastAsia="仿宋_GB2312"/>
          <w:color w:val="000000"/>
          <w:sz w:val="32"/>
          <w:szCs w:val="32"/>
        </w:rPr>
        <w:t>3</w:t>
      </w:r>
      <w:r>
        <w:rPr>
          <w:rFonts w:ascii="仿宋_GB2312" w:eastAsia="仿宋_GB2312" w:hint="eastAsia"/>
          <w:color w:val="000000"/>
          <w:sz w:val="32"/>
          <w:szCs w:val="32"/>
        </w:rPr>
        <w:t>个以上。</w:t>
      </w:r>
    </w:p>
    <w:p w:rsidR="00E61A21" w:rsidRPr="006456F9" w:rsidRDefault="00E61A21" w:rsidP="00DF399B">
      <w:pPr>
        <w:spacing w:line="600" w:lineRule="exact"/>
        <w:ind w:firstLineChars="200" w:firstLine="640"/>
        <w:rPr>
          <w:rFonts w:ascii="楷体_GB2312" w:eastAsia="楷体_GB2312"/>
          <w:sz w:val="32"/>
          <w:szCs w:val="32"/>
        </w:rPr>
      </w:pPr>
      <w:bookmarkStart w:id="20" w:name="_Toc469611614"/>
      <w:r w:rsidRPr="006456F9">
        <w:rPr>
          <w:rFonts w:ascii="楷体_GB2312" w:eastAsia="楷体_GB2312" w:hint="eastAsia"/>
          <w:sz w:val="32"/>
          <w:szCs w:val="32"/>
        </w:rPr>
        <w:t>（六）生态旅游人才培养工程</w:t>
      </w:r>
      <w:bookmarkEnd w:id="20"/>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sz w:val="32"/>
          <w:szCs w:val="32"/>
        </w:rPr>
        <w:t>围绕旅游开发、行业管理、“旅游</w:t>
      </w:r>
      <w:r>
        <w:rPr>
          <w:rFonts w:ascii="仿宋_GB2312" w:eastAsia="仿宋_GB2312"/>
          <w:sz w:val="32"/>
          <w:szCs w:val="32"/>
        </w:rPr>
        <w:t>+</w:t>
      </w:r>
      <w:r>
        <w:rPr>
          <w:rFonts w:ascii="仿宋_GB2312" w:eastAsia="仿宋_GB2312" w:hint="eastAsia"/>
          <w:sz w:val="32"/>
          <w:szCs w:val="32"/>
        </w:rPr>
        <w:t>互联网”等领域</w:t>
      </w:r>
      <w:r>
        <w:rPr>
          <w:rFonts w:ascii="仿宋_GB2312" w:eastAsia="仿宋_GB2312" w:hint="eastAsia"/>
          <w:color w:val="000000"/>
          <w:sz w:val="32"/>
          <w:szCs w:val="32"/>
        </w:rPr>
        <w:t>，加大导游讲解、景区</w:t>
      </w:r>
      <w:r>
        <w:rPr>
          <w:rFonts w:ascii="仿宋_GB2312" w:eastAsia="仿宋_GB2312" w:hint="eastAsia"/>
          <w:sz w:val="32"/>
          <w:szCs w:val="32"/>
        </w:rPr>
        <w:t>规划、民宿建设、市场营销、旅游文化、项目策划、酒店管理和旅游新业态发展等紧缺专业型人才培养和引进，争取“十三五”期间，累计</w:t>
      </w:r>
      <w:r>
        <w:rPr>
          <w:rFonts w:ascii="仿宋_GB2312" w:eastAsia="仿宋_GB2312" w:hint="eastAsia"/>
          <w:color w:val="000000"/>
          <w:sz w:val="32"/>
          <w:szCs w:val="32"/>
        </w:rPr>
        <w:t>培养开发高端旅游开发设计、旅游产业管理人才</w:t>
      </w:r>
      <w:r>
        <w:rPr>
          <w:rFonts w:ascii="仿宋_GB2312" w:eastAsia="仿宋_GB2312"/>
          <w:color w:val="000000"/>
          <w:sz w:val="32"/>
          <w:szCs w:val="32"/>
        </w:rPr>
        <w:t>6</w:t>
      </w:r>
      <w:r>
        <w:rPr>
          <w:rFonts w:ascii="仿宋_GB2312" w:eastAsia="仿宋_GB2312" w:hint="eastAsia"/>
          <w:color w:val="000000"/>
          <w:sz w:val="32"/>
          <w:szCs w:val="32"/>
        </w:rPr>
        <w:t>名，经营管理人才</w:t>
      </w:r>
      <w:r>
        <w:rPr>
          <w:rFonts w:ascii="仿宋_GB2312" w:eastAsia="仿宋_GB2312"/>
          <w:color w:val="000000"/>
          <w:sz w:val="32"/>
          <w:szCs w:val="32"/>
        </w:rPr>
        <w:t>50</w:t>
      </w:r>
      <w:r>
        <w:rPr>
          <w:rFonts w:ascii="仿宋_GB2312" w:eastAsia="仿宋_GB2312" w:hint="eastAsia"/>
          <w:color w:val="000000"/>
          <w:sz w:val="32"/>
          <w:szCs w:val="32"/>
        </w:rPr>
        <w:t>名，业务骨干人才</w:t>
      </w:r>
      <w:r>
        <w:rPr>
          <w:rFonts w:ascii="仿宋_GB2312" w:eastAsia="仿宋_GB2312"/>
          <w:color w:val="000000"/>
          <w:sz w:val="32"/>
          <w:szCs w:val="32"/>
        </w:rPr>
        <w:t>500</w:t>
      </w:r>
      <w:r>
        <w:rPr>
          <w:rFonts w:ascii="仿宋_GB2312" w:eastAsia="仿宋_GB2312" w:hint="eastAsia"/>
          <w:color w:val="000000"/>
          <w:sz w:val="32"/>
          <w:szCs w:val="32"/>
        </w:rPr>
        <w:t>名。</w:t>
      </w:r>
    </w:p>
    <w:p w:rsidR="00E61A21" w:rsidRPr="006456F9" w:rsidRDefault="00E61A21" w:rsidP="00DF399B">
      <w:pPr>
        <w:spacing w:line="600" w:lineRule="exact"/>
        <w:ind w:firstLineChars="200" w:firstLine="640"/>
        <w:rPr>
          <w:rFonts w:ascii="楷体_GB2312" w:eastAsia="楷体_GB2312"/>
          <w:sz w:val="32"/>
          <w:szCs w:val="32"/>
        </w:rPr>
      </w:pPr>
      <w:bookmarkStart w:id="21" w:name="_Toc469611615"/>
      <w:r w:rsidRPr="006456F9">
        <w:rPr>
          <w:rFonts w:ascii="楷体_GB2312" w:eastAsia="楷体_GB2312" w:hint="eastAsia"/>
          <w:sz w:val="32"/>
          <w:szCs w:val="32"/>
        </w:rPr>
        <w:t>（七）商贸、金融等新兴领域人才开发工程</w:t>
      </w:r>
      <w:bookmarkEnd w:id="21"/>
    </w:p>
    <w:p w:rsidR="00E61A21" w:rsidRDefault="00E61A21" w:rsidP="008E57EE">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围绕进口商品集散地打造，培养开发</w:t>
      </w:r>
      <w:r>
        <w:rPr>
          <w:rFonts w:ascii="仿宋_GB2312" w:eastAsia="仿宋_GB2312"/>
          <w:color w:val="000000"/>
          <w:sz w:val="32"/>
          <w:szCs w:val="32"/>
        </w:rPr>
        <w:t>100</w:t>
      </w:r>
      <w:r>
        <w:rPr>
          <w:rFonts w:ascii="仿宋_GB2312" w:eastAsia="仿宋_GB2312" w:hint="eastAsia"/>
          <w:color w:val="000000"/>
          <w:sz w:val="32"/>
          <w:szCs w:val="32"/>
        </w:rPr>
        <w:t>名以上熟悉国内外贸易惯例和规则、掌握本行业专业知识的商贸领军人才，造就一支以创业天下、大气开放、充满活力的万人商贸实用人才队伍。围绕金融强县战略，重点培养金融风险管理、财富管理、金融产品开发、现代资本运营、股权基金管理等领</w:t>
      </w:r>
      <w:r>
        <w:rPr>
          <w:rFonts w:ascii="仿宋_GB2312" w:eastAsia="仿宋_GB2312" w:hint="eastAsia"/>
          <w:sz w:val="32"/>
          <w:szCs w:val="32"/>
        </w:rPr>
        <w:t>域人才</w:t>
      </w:r>
      <w:r>
        <w:rPr>
          <w:rFonts w:ascii="仿宋_GB2312" w:eastAsia="仿宋_GB2312"/>
          <w:sz w:val="32"/>
          <w:szCs w:val="32"/>
        </w:rPr>
        <w:t>50</w:t>
      </w:r>
      <w:r>
        <w:rPr>
          <w:rFonts w:ascii="仿宋_GB2312" w:eastAsia="仿宋_GB2312" w:hint="eastAsia"/>
          <w:sz w:val="32"/>
          <w:szCs w:val="32"/>
        </w:rPr>
        <w:t>名以上。积极推动</w:t>
      </w:r>
      <w:r>
        <w:rPr>
          <w:rFonts w:ascii="仿宋_GB2312" w:eastAsia="仿宋_GB2312" w:hint="eastAsia"/>
          <w:color w:val="000000"/>
          <w:sz w:val="32"/>
          <w:szCs w:val="32"/>
        </w:rPr>
        <w:t>中西式餐饮、港航开发、现代物流、会展管理等领域人才培养集聚。</w:t>
      </w:r>
    </w:p>
    <w:p w:rsidR="00E61A21" w:rsidRPr="006456F9" w:rsidRDefault="00E61A21" w:rsidP="00DF399B">
      <w:pPr>
        <w:spacing w:line="600" w:lineRule="exact"/>
        <w:ind w:firstLineChars="200" w:firstLine="640"/>
        <w:rPr>
          <w:rFonts w:ascii="楷体_GB2312" w:eastAsia="楷体_GB2312"/>
          <w:sz w:val="32"/>
          <w:szCs w:val="32"/>
        </w:rPr>
      </w:pPr>
      <w:bookmarkStart w:id="22" w:name="_Toc469611616"/>
      <w:r w:rsidRPr="006456F9">
        <w:rPr>
          <w:rFonts w:ascii="楷体_GB2312" w:eastAsia="楷体_GB2312" w:hint="eastAsia"/>
          <w:sz w:val="32"/>
          <w:szCs w:val="32"/>
        </w:rPr>
        <w:t>（八）电商、创客人才培养工程</w:t>
      </w:r>
      <w:bookmarkEnd w:id="22"/>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充分发挥政府部门、大中专院校、社会专业培训机构、电商企业和行业协会等作用，依托电商服务平台和众创空间，突出“互联</w:t>
      </w:r>
      <w:r>
        <w:rPr>
          <w:rFonts w:ascii="仿宋_GB2312" w:eastAsia="仿宋_GB2312" w:hint="eastAsia"/>
          <w:sz w:val="32"/>
          <w:szCs w:val="32"/>
        </w:rPr>
        <w:t>网</w:t>
      </w:r>
      <w:r>
        <w:rPr>
          <w:rFonts w:ascii="仿宋_GB2312" w:eastAsia="仿宋_GB2312"/>
          <w:sz w:val="32"/>
          <w:szCs w:val="32"/>
        </w:rPr>
        <w:t>+</w:t>
      </w:r>
      <w:r>
        <w:rPr>
          <w:rFonts w:ascii="仿宋_GB2312" w:eastAsia="仿宋_GB2312" w:hint="eastAsia"/>
          <w:sz w:val="32"/>
          <w:szCs w:val="32"/>
        </w:rPr>
        <w:t>”、“总部</w:t>
      </w:r>
      <w:r>
        <w:rPr>
          <w:rFonts w:ascii="仿宋_GB2312" w:eastAsia="仿宋_GB2312"/>
          <w:sz w:val="32"/>
          <w:szCs w:val="32"/>
        </w:rPr>
        <w:t>+</w:t>
      </w:r>
      <w:r>
        <w:rPr>
          <w:rFonts w:ascii="仿宋_GB2312" w:eastAsia="仿宋_GB2312" w:hint="eastAsia"/>
          <w:sz w:val="32"/>
          <w:szCs w:val="32"/>
        </w:rPr>
        <w:t>”，开展系统化、多层次、针对性强的系列培训，重点围绕国际商贸（跨境电商）、农业、文化创意、时尚设计、乡村旅游等引进培育</w:t>
      </w:r>
      <w:r>
        <w:rPr>
          <w:rFonts w:ascii="仿宋_GB2312" w:eastAsia="仿宋_GB2312"/>
          <w:sz w:val="32"/>
          <w:szCs w:val="32"/>
        </w:rPr>
        <w:t>1000</w:t>
      </w:r>
      <w:r>
        <w:rPr>
          <w:rFonts w:ascii="仿宋_GB2312" w:eastAsia="仿宋_GB2312" w:hint="eastAsia"/>
          <w:sz w:val="32"/>
          <w:szCs w:val="32"/>
        </w:rPr>
        <w:t>名以上电商、创客人才。</w:t>
      </w:r>
    </w:p>
    <w:p w:rsidR="00E61A21" w:rsidRPr="006456F9" w:rsidRDefault="00E61A21" w:rsidP="00DF399B">
      <w:pPr>
        <w:spacing w:line="600" w:lineRule="exact"/>
        <w:ind w:firstLineChars="200" w:firstLine="640"/>
        <w:rPr>
          <w:rFonts w:ascii="楷体_GB2312" w:eastAsia="楷体_GB2312"/>
          <w:sz w:val="32"/>
          <w:szCs w:val="32"/>
        </w:rPr>
      </w:pPr>
      <w:bookmarkStart w:id="23" w:name="_Toc469611617"/>
      <w:r w:rsidRPr="006456F9">
        <w:rPr>
          <w:rFonts w:ascii="楷体_GB2312" w:eastAsia="楷体_GB2312" w:hint="eastAsia"/>
          <w:sz w:val="32"/>
          <w:szCs w:val="32"/>
        </w:rPr>
        <w:t>（九）美丽乡村建设人才支撑工程</w:t>
      </w:r>
      <w:bookmarkEnd w:id="23"/>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sz w:val="32"/>
          <w:szCs w:val="32"/>
        </w:rPr>
        <w:t>加大农业示范性主体扶持力度，重点围绕杨梅、田鱼、油茶、茶叶、笋竹等五大主导产业，努力培育一批下得了地、上得了网、讲得了故事、懂得了管理的“侨乡农师</w:t>
      </w:r>
      <w:r>
        <w:rPr>
          <w:rFonts w:ascii="仿宋_GB2312" w:eastAsia="仿宋_GB2312" w:hint="eastAsia"/>
          <w:color w:val="000000"/>
          <w:sz w:val="32"/>
          <w:szCs w:val="32"/>
        </w:rPr>
        <w:t>”，突出</w:t>
      </w:r>
      <w:r>
        <w:rPr>
          <w:rFonts w:ascii="仿宋_GB2312" w:eastAsia="仿宋_GB2312"/>
          <w:color w:val="000000"/>
          <w:sz w:val="32"/>
          <w:szCs w:val="32"/>
        </w:rPr>
        <w:t xml:space="preserve"> </w:t>
      </w:r>
      <w:r>
        <w:rPr>
          <w:rFonts w:ascii="仿宋_GB2312" w:eastAsia="仿宋_GB2312" w:hint="eastAsia"/>
          <w:color w:val="000000"/>
          <w:sz w:val="32"/>
          <w:szCs w:val="32"/>
        </w:rPr>
        <w:t>“农村电子商务、农家乐民宿、来料加工”新三宝和农业生产经营技能、农村社区规划与管理“</w:t>
      </w:r>
      <w:r>
        <w:rPr>
          <w:rFonts w:ascii="仿宋_GB2312" w:eastAsia="仿宋_GB2312"/>
          <w:color w:val="000000"/>
          <w:sz w:val="32"/>
          <w:szCs w:val="32"/>
        </w:rPr>
        <w:t>3+2</w:t>
      </w:r>
      <w:r>
        <w:rPr>
          <w:rFonts w:ascii="仿宋_GB2312" w:eastAsia="仿宋_GB2312" w:hint="eastAsia"/>
          <w:color w:val="000000"/>
          <w:sz w:val="32"/>
          <w:szCs w:val="32"/>
        </w:rPr>
        <w:t>”培训重点，实现年均农村实用人才培训、农民转移就业培训、普及性培训合计</w:t>
      </w:r>
      <w:r>
        <w:rPr>
          <w:rFonts w:ascii="仿宋_GB2312" w:eastAsia="仿宋_GB2312"/>
          <w:color w:val="000000"/>
          <w:sz w:val="32"/>
          <w:szCs w:val="32"/>
        </w:rPr>
        <w:t>6000</w:t>
      </w:r>
      <w:r>
        <w:rPr>
          <w:rFonts w:ascii="仿宋_GB2312" w:eastAsia="仿宋_GB2312" w:hint="eastAsia"/>
          <w:color w:val="000000"/>
          <w:sz w:val="32"/>
          <w:szCs w:val="32"/>
        </w:rPr>
        <w:t>人次以上。</w:t>
      </w:r>
    </w:p>
    <w:p w:rsidR="00E61A21" w:rsidRPr="006456F9" w:rsidRDefault="00E61A21" w:rsidP="00DF399B">
      <w:pPr>
        <w:spacing w:line="600" w:lineRule="exact"/>
        <w:ind w:firstLineChars="200" w:firstLine="640"/>
        <w:rPr>
          <w:rFonts w:ascii="楷体_GB2312" w:eastAsia="楷体_GB2312"/>
          <w:sz w:val="32"/>
          <w:szCs w:val="32"/>
        </w:rPr>
      </w:pPr>
      <w:bookmarkStart w:id="24" w:name="_Toc469611618"/>
      <w:r w:rsidRPr="006456F9">
        <w:rPr>
          <w:rFonts w:ascii="楷体_GB2312" w:eastAsia="楷体_GB2312" w:hint="eastAsia"/>
          <w:sz w:val="32"/>
          <w:szCs w:val="32"/>
        </w:rPr>
        <w:t>（十）教育、卫生人才保障工程</w:t>
      </w:r>
      <w:bookmarkEnd w:id="24"/>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sz w:val="32"/>
          <w:szCs w:val="32"/>
        </w:rPr>
        <w:t>适应新教改、新课改的要求，重点围绕提升学生核心素养，完善各级各类学校、幼儿园教师和校（园）长专业发展培训制度及管理干部研修制度，实施五年一周期的全员培训。加大面向农村学校、薄弱学校的教师培训力度，加大适应小班化教育的全科教师培养力度。主动对接市“</w:t>
      </w:r>
      <w:r>
        <w:rPr>
          <w:rFonts w:ascii="仿宋_GB2312" w:eastAsia="仿宋_GB2312" w:hint="eastAsia"/>
          <w:color w:val="000000"/>
          <w:sz w:val="32"/>
          <w:szCs w:val="32"/>
        </w:rPr>
        <w:t>绿谷名师”培养体系，每年筛选重点培养骨干教师</w:t>
      </w:r>
      <w:r>
        <w:rPr>
          <w:rFonts w:ascii="仿宋_GB2312" w:eastAsia="仿宋_GB2312"/>
          <w:color w:val="000000"/>
          <w:sz w:val="32"/>
          <w:szCs w:val="32"/>
        </w:rPr>
        <w:t>120</w:t>
      </w:r>
      <w:r>
        <w:rPr>
          <w:rFonts w:ascii="仿宋_GB2312" w:eastAsia="仿宋_GB2312" w:hint="eastAsia"/>
          <w:color w:val="000000"/>
          <w:sz w:val="32"/>
          <w:szCs w:val="32"/>
        </w:rPr>
        <w:t>名、骨干校长</w:t>
      </w:r>
      <w:r>
        <w:rPr>
          <w:rFonts w:ascii="仿宋_GB2312" w:eastAsia="仿宋_GB2312"/>
          <w:color w:val="000000"/>
          <w:sz w:val="32"/>
          <w:szCs w:val="32"/>
        </w:rPr>
        <w:t>10</w:t>
      </w:r>
      <w:r>
        <w:rPr>
          <w:rFonts w:ascii="仿宋_GB2312" w:eastAsia="仿宋_GB2312" w:hint="eastAsia"/>
          <w:sz w:val="32"/>
          <w:szCs w:val="32"/>
        </w:rPr>
        <w:t>名，着力培养新生代学科带头人和教育领军人物。继续实施医务人员定向委托培养，加强医务人员培训，大力推进学科团队建设，加快形成一支全科专科合理配置、城乡分布相对均衡的医疗卫生人才队伍，累计培养</w:t>
      </w:r>
      <w:r>
        <w:rPr>
          <w:rFonts w:ascii="仿宋_GB2312" w:eastAsia="仿宋_GB2312"/>
          <w:sz w:val="32"/>
          <w:szCs w:val="32"/>
        </w:rPr>
        <w:t>50</w:t>
      </w:r>
      <w:r>
        <w:rPr>
          <w:rFonts w:ascii="仿宋_GB2312" w:eastAsia="仿宋_GB2312" w:hint="eastAsia"/>
          <w:sz w:val="32"/>
          <w:szCs w:val="32"/>
        </w:rPr>
        <w:t>名德技双馨名</w:t>
      </w:r>
      <w:r>
        <w:rPr>
          <w:rFonts w:ascii="仿宋_GB2312" w:eastAsia="仿宋_GB2312" w:hint="eastAsia"/>
          <w:color w:val="000000"/>
          <w:sz w:val="32"/>
          <w:szCs w:val="32"/>
        </w:rPr>
        <w:t>医、名护士，“千人医生、护士比例”走在全市前列。</w:t>
      </w:r>
    </w:p>
    <w:p w:rsidR="00E61A21" w:rsidRPr="006456F9" w:rsidRDefault="00E61A21" w:rsidP="00DF399B">
      <w:pPr>
        <w:spacing w:line="600" w:lineRule="exact"/>
        <w:ind w:firstLineChars="200" w:firstLine="640"/>
        <w:rPr>
          <w:rFonts w:ascii="楷体_GB2312" w:eastAsia="楷体_GB2312"/>
          <w:sz w:val="32"/>
          <w:szCs w:val="32"/>
        </w:rPr>
      </w:pPr>
      <w:bookmarkStart w:id="25" w:name="_Toc469611619"/>
      <w:r w:rsidRPr="006456F9">
        <w:rPr>
          <w:rFonts w:ascii="楷体_GB2312" w:eastAsia="楷体_GB2312" w:hint="eastAsia"/>
          <w:sz w:val="32"/>
          <w:szCs w:val="32"/>
        </w:rPr>
        <w:t>（十一）文化领域人才培养工程</w:t>
      </w:r>
      <w:bookmarkEnd w:id="25"/>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在社科理论、新闻、文学艺术、文化经营管理等</w:t>
      </w:r>
      <w:r>
        <w:rPr>
          <w:rFonts w:ascii="仿宋_GB2312" w:eastAsia="仿宋_GB2312"/>
          <w:color w:val="000000"/>
          <w:sz w:val="32"/>
          <w:szCs w:val="32"/>
        </w:rPr>
        <w:t>4</w:t>
      </w:r>
      <w:r>
        <w:rPr>
          <w:rFonts w:ascii="仿宋_GB2312" w:eastAsia="仿宋_GB2312" w:hint="eastAsia"/>
          <w:color w:val="000000"/>
          <w:sz w:val="32"/>
          <w:szCs w:val="32"/>
        </w:rPr>
        <w:t>个领域，累计培养选拔县内</w:t>
      </w:r>
      <w:r>
        <w:rPr>
          <w:rFonts w:ascii="仿宋_GB2312" w:eastAsia="仿宋_GB2312"/>
          <w:color w:val="000000"/>
          <w:sz w:val="32"/>
          <w:szCs w:val="32"/>
        </w:rPr>
        <w:t>15-20</w:t>
      </w:r>
      <w:r>
        <w:rPr>
          <w:rFonts w:ascii="仿宋_GB2312" w:eastAsia="仿宋_GB2312" w:hint="eastAsia"/>
          <w:color w:val="000000"/>
          <w:sz w:val="32"/>
          <w:szCs w:val="32"/>
        </w:rPr>
        <w:t>名、省市</w:t>
      </w:r>
      <w:r>
        <w:rPr>
          <w:rFonts w:ascii="仿宋_GB2312" w:eastAsia="仿宋_GB2312"/>
          <w:color w:val="000000"/>
          <w:sz w:val="32"/>
          <w:szCs w:val="32"/>
        </w:rPr>
        <w:t>3-5</w:t>
      </w:r>
      <w:r>
        <w:rPr>
          <w:rFonts w:ascii="仿宋_GB2312" w:eastAsia="仿宋_GB2312" w:hint="eastAsia"/>
          <w:color w:val="000000"/>
          <w:sz w:val="32"/>
          <w:szCs w:val="32"/>
        </w:rPr>
        <w:t>名在本行业或本学科领域有较大影响的宣传文化系统“四个一批”人才。继</w:t>
      </w:r>
      <w:r>
        <w:rPr>
          <w:rFonts w:ascii="仿宋_GB2312" w:eastAsia="仿宋_GB2312" w:hint="eastAsia"/>
          <w:sz w:val="32"/>
          <w:szCs w:val="32"/>
        </w:rPr>
        <w:t>续实施石雕人才培养提升工程，着重加大对石雕创意设计、策划营销等创新型人才培养</w:t>
      </w:r>
      <w:r>
        <w:rPr>
          <w:rFonts w:ascii="仿宋_GB2312" w:eastAsia="仿宋_GB2312"/>
          <w:sz w:val="32"/>
          <w:szCs w:val="32"/>
        </w:rPr>
        <w:t>,</w:t>
      </w:r>
      <w:r>
        <w:rPr>
          <w:rFonts w:ascii="仿宋_GB2312" w:eastAsia="仿宋_GB2312" w:hint="eastAsia"/>
          <w:sz w:val="32"/>
          <w:szCs w:val="32"/>
        </w:rPr>
        <w:t>逐步形成“天下石、青田雕”的集聚效应</w:t>
      </w:r>
      <w:r>
        <w:rPr>
          <w:rFonts w:ascii="仿宋_GB2312" w:eastAsia="仿宋_GB2312"/>
          <w:sz w:val="32"/>
          <w:szCs w:val="32"/>
        </w:rPr>
        <w:t>,</w:t>
      </w:r>
      <w:r>
        <w:rPr>
          <w:rFonts w:ascii="仿宋_GB2312" w:eastAsia="仿宋_GB2312" w:hint="eastAsia"/>
          <w:sz w:val="32"/>
          <w:szCs w:val="32"/>
        </w:rPr>
        <w:t>争取石雕专业技术人才达到</w:t>
      </w:r>
      <w:r>
        <w:rPr>
          <w:rFonts w:ascii="仿宋_GB2312" w:eastAsia="仿宋_GB2312"/>
          <w:sz w:val="32"/>
          <w:szCs w:val="32"/>
        </w:rPr>
        <w:t>750</w:t>
      </w:r>
      <w:r>
        <w:rPr>
          <w:rFonts w:ascii="仿宋_GB2312" w:eastAsia="仿宋_GB2312" w:hint="eastAsia"/>
          <w:sz w:val="32"/>
          <w:szCs w:val="32"/>
        </w:rPr>
        <w:t>人左右，其中中级、高级职称比例分别达</w:t>
      </w:r>
      <w:r>
        <w:rPr>
          <w:rFonts w:ascii="仿宋_GB2312" w:eastAsia="仿宋_GB2312"/>
          <w:sz w:val="32"/>
          <w:szCs w:val="32"/>
        </w:rPr>
        <w:t>20%</w:t>
      </w:r>
      <w:r>
        <w:rPr>
          <w:rFonts w:ascii="仿宋_GB2312" w:eastAsia="仿宋_GB2312" w:hint="eastAsia"/>
          <w:sz w:val="32"/>
          <w:szCs w:val="32"/>
        </w:rPr>
        <w:t>和</w:t>
      </w:r>
      <w:r>
        <w:rPr>
          <w:rFonts w:ascii="仿宋_GB2312" w:eastAsia="仿宋_GB2312"/>
          <w:sz w:val="32"/>
          <w:szCs w:val="32"/>
        </w:rPr>
        <w:t>8%</w:t>
      </w:r>
      <w:r>
        <w:rPr>
          <w:rFonts w:ascii="仿宋_GB2312" w:eastAsia="仿宋_GB2312" w:hint="eastAsia"/>
          <w:sz w:val="32"/>
          <w:szCs w:val="32"/>
        </w:rPr>
        <w:t>以上。围绕青田竹核雕、传统刻字、鱼灯等灯舞、鼓词等非遗</w:t>
      </w:r>
      <w:r>
        <w:rPr>
          <w:rFonts w:ascii="仿宋_GB2312" w:eastAsia="仿宋_GB2312" w:hint="eastAsia"/>
          <w:color w:val="000000"/>
          <w:sz w:val="32"/>
          <w:szCs w:val="32"/>
        </w:rPr>
        <w:t>事业，探索推进青田特色民间人才星级评选，培养造就一批民间优秀人才。</w:t>
      </w:r>
    </w:p>
    <w:p w:rsidR="00E61A21" w:rsidRPr="006456F9" w:rsidRDefault="00E61A21" w:rsidP="00DF399B">
      <w:pPr>
        <w:spacing w:line="600" w:lineRule="exact"/>
        <w:ind w:firstLineChars="200" w:firstLine="640"/>
        <w:rPr>
          <w:rFonts w:ascii="楷体_GB2312" w:eastAsia="楷体_GB2312"/>
          <w:sz w:val="32"/>
          <w:szCs w:val="32"/>
        </w:rPr>
      </w:pPr>
      <w:bookmarkStart w:id="26" w:name="_Toc469611620"/>
      <w:r w:rsidRPr="006456F9">
        <w:rPr>
          <w:rFonts w:ascii="楷体_GB2312" w:eastAsia="楷体_GB2312" w:hint="eastAsia"/>
          <w:sz w:val="32"/>
          <w:szCs w:val="32"/>
        </w:rPr>
        <w:t>（十二）社会工作人才培育工程</w:t>
      </w:r>
      <w:bookmarkEnd w:id="26"/>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实施“金牌社工督导”引才工程，开展“侨乡社工师”选拔，到</w:t>
      </w:r>
      <w:r>
        <w:rPr>
          <w:rFonts w:ascii="仿宋_GB2312" w:eastAsia="仿宋_GB2312"/>
          <w:color w:val="000000"/>
          <w:sz w:val="32"/>
          <w:szCs w:val="32"/>
        </w:rPr>
        <w:t>2020</w:t>
      </w:r>
      <w:r>
        <w:rPr>
          <w:rFonts w:ascii="仿宋_GB2312" w:eastAsia="仿宋_GB2312" w:hint="eastAsia"/>
          <w:color w:val="000000"/>
          <w:sz w:val="32"/>
          <w:szCs w:val="32"/>
        </w:rPr>
        <w:t>年前全县选拔培养社会工作骨干人才</w:t>
      </w:r>
      <w:r>
        <w:rPr>
          <w:rFonts w:ascii="仿宋_GB2312" w:eastAsia="仿宋_GB2312"/>
          <w:color w:val="000000"/>
          <w:sz w:val="32"/>
          <w:szCs w:val="32"/>
        </w:rPr>
        <w:t>100</w:t>
      </w:r>
      <w:r>
        <w:rPr>
          <w:rFonts w:ascii="仿宋_GB2312" w:eastAsia="仿宋_GB2312" w:hint="eastAsia"/>
          <w:color w:val="000000"/>
          <w:sz w:val="32"/>
          <w:szCs w:val="32"/>
        </w:rPr>
        <w:t>名左</w:t>
      </w:r>
      <w:r>
        <w:rPr>
          <w:rFonts w:ascii="仿宋_GB2312" w:eastAsia="仿宋_GB2312" w:hint="eastAsia"/>
          <w:sz w:val="32"/>
          <w:szCs w:val="32"/>
        </w:rPr>
        <w:t>右。定期组织社会工作人才开展集中培训、专题研讨活动。建立实体化的县社会组织服务中心、孵化中心，将其打造成社会组织服务、学习、活动、孵化、交流的主平台，社会工作人才的集群中心。</w:t>
      </w:r>
    </w:p>
    <w:p w:rsidR="00E61A21" w:rsidRPr="008E57EE" w:rsidRDefault="00E61A21" w:rsidP="00DF399B">
      <w:pPr>
        <w:spacing w:line="600" w:lineRule="exact"/>
        <w:ind w:firstLineChars="200" w:firstLine="640"/>
        <w:rPr>
          <w:rFonts w:ascii="黑体" w:eastAsia="黑体"/>
          <w:sz w:val="32"/>
          <w:szCs w:val="32"/>
        </w:rPr>
      </w:pPr>
      <w:bookmarkStart w:id="27" w:name="_Toc469611621"/>
      <w:r w:rsidRPr="008E57EE">
        <w:rPr>
          <w:rFonts w:ascii="黑体" w:eastAsia="黑体" w:hint="eastAsia"/>
          <w:sz w:val="32"/>
          <w:szCs w:val="32"/>
        </w:rPr>
        <w:t>五、保障措施</w:t>
      </w:r>
      <w:bookmarkEnd w:id="27"/>
    </w:p>
    <w:p w:rsidR="00E61A21" w:rsidRPr="006456F9" w:rsidRDefault="00E61A21" w:rsidP="00DF399B">
      <w:pPr>
        <w:spacing w:line="600" w:lineRule="exact"/>
        <w:ind w:firstLineChars="200" w:firstLine="640"/>
        <w:rPr>
          <w:rFonts w:ascii="楷体_GB2312" w:eastAsia="楷体_GB2312"/>
          <w:sz w:val="32"/>
          <w:szCs w:val="32"/>
        </w:rPr>
      </w:pPr>
      <w:bookmarkStart w:id="28" w:name="_Toc469611622"/>
      <w:r w:rsidRPr="006456F9">
        <w:rPr>
          <w:rFonts w:ascii="楷体_GB2312" w:eastAsia="楷体_GB2312" w:hint="eastAsia"/>
          <w:sz w:val="32"/>
          <w:szCs w:val="32"/>
        </w:rPr>
        <w:t>（一）加强组织领导</w:t>
      </w:r>
      <w:bookmarkEnd w:id="28"/>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发挥党委总揽全局、协调各方的领导核心作用，加强党对人才工作统一领导，切实履行管宏观、管政策、管协调、管服务职责。县委人才办牵头制定规划任务分解和重大工程实施办法，明确阶段目标和年度重点，明确责任单位和进度要求，指导和帮助解决规划实施过程中遇到的问题。各部门、乡镇（街道）要按照职责分工，共同推进规划的组织实施。</w:t>
      </w:r>
    </w:p>
    <w:p w:rsidR="00E61A21" w:rsidRPr="006456F9" w:rsidRDefault="00E61A21" w:rsidP="00DF399B">
      <w:pPr>
        <w:spacing w:line="600" w:lineRule="exact"/>
        <w:ind w:firstLineChars="200" w:firstLine="640"/>
        <w:rPr>
          <w:rFonts w:ascii="楷体_GB2312" w:eastAsia="楷体_GB2312"/>
          <w:sz w:val="32"/>
          <w:szCs w:val="32"/>
        </w:rPr>
      </w:pPr>
      <w:bookmarkStart w:id="29" w:name="_Toc469611623"/>
      <w:r w:rsidRPr="006456F9">
        <w:rPr>
          <w:rFonts w:ascii="楷体_GB2312" w:eastAsia="楷体_GB2312" w:hint="eastAsia"/>
          <w:sz w:val="32"/>
          <w:szCs w:val="32"/>
        </w:rPr>
        <w:t>（二）强化监督评估</w:t>
      </w:r>
      <w:bookmarkEnd w:id="29"/>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落实人才工作目标责任制</w:t>
      </w:r>
      <w:r>
        <w:rPr>
          <w:rFonts w:ascii="仿宋_GB2312" w:eastAsia="仿宋_GB2312"/>
          <w:color w:val="000000"/>
          <w:sz w:val="32"/>
          <w:szCs w:val="32"/>
        </w:rPr>
        <w:t>,</w:t>
      </w:r>
      <w:r>
        <w:rPr>
          <w:rFonts w:ascii="仿宋_GB2312" w:eastAsia="仿宋_GB2312" w:hint="eastAsia"/>
          <w:color w:val="000000"/>
          <w:sz w:val="32"/>
          <w:szCs w:val="32"/>
        </w:rPr>
        <w:t>加大人才工作考核力度</w:t>
      </w:r>
      <w:r>
        <w:rPr>
          <w:rFonts w:ascii="仿宋_GB2312" w:eastAsia="仿宋_GB2312"/>
          <w:color w:val="000000"/>
          <w:sz w:val="32"/>
          <w:szCs w:val="32"/>
        </w:rPr>
        <w:t>,</w:t>
      </w:r>
      <w:r>
        <w:rPr>
          <w:rFonts w:ascii="仿宋_GB2312" w:eastAsia="仿宋_GB2312" w:hint="eastAsia"/>
          <w:color w:val="000000"/>
          <w:sz w:val="32"/>
          <w:szCs w:val="32"/>
        </w:rPr>
        <w:t>完善考核办法和奖惩机制。把人才工作成效作为干部任用的重要依据、作为落实党建责任制述职的重要内容。建立规划目标任务实施情况定期报告制度和年度评估制度</w:t>
      </w:r>
      <w:r>
        <w:rPr>
          <w:rFonts w:ascii="仿宋_GB2312" w:eastAsia="仿宋_GB2312"/>
          <w:color w:val="000000"/>
          <w:sz w:val="32"/>
          <w:szCs w:val="32"/>
        </w:rPr>
        <w:t>,</w:t>
      </w:r>
      <w:r>
        <w:rPr>
          <w:rFonts w:ascii="仿宋_GB2312" w:eastAsia="仿宋_GB2312" w:hint="eastAsia"/>
          <w:color w:val="000000"/>
          <w:sz w:val="32"/>
          <w:szCs w:val="32"/>
        </w:rPr>
        <w:t>跟踪分析和研究解决规划实施中出现的新情况、新问题。探索引入第三方评估机制，加强对重大人才工程实施的评估监控。</w:t>
      </w:r>
    </w:p>
    <w:p w:rsidR="00E61A21" w:rsidRPr="006456F9" w:rsidRDefault="00E61A21" w:rsidP="00DF399B">
      <w:pPr>
        <w:spacing w:line="600" w:lineRule="exact"/>
        <w:ind w:firstLineChars="200" w:firstLine="640"/>
        <w:rPr>
          <w:rFonts w:ascii="楷体_GB2312" w:eastAsia="楷体_GB2312"/>
          <w:sz w:val="32"/>
          <w:szCs w:val="32"/>
        </w:rPr>
      </w:pPr>
      <w:bookmarkStart w:id="30" w:name="_Toc469611624"/>
      <w:r w:rsidRPr="006456F9">
        <w:rPr>
          <w:rFonts w:ascii="楷体_GB2312" w:eastAsia="楷体_GB2312" w:hint="eastAsia"/>
          <w:sz w:val="32"/>
          <w:szCs w:val="32"/>
        </w:rPr>
        <w:t>（三）加强基础建设</w:t>
      </w:r>
      <w:bookmarkEnd w:id="30"/>
    </w:p>
    <w:p w:rsidR="00E61A21" w:rsidRDefault="00E61A21" w:rsidP="00DF39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开展人才工作战略性研究，积极探索人才资源开发规律。强化人才统计工作，建立健全人才资源统计和定期发布制度。加强人才工作队伍建设，加大培训力度，提高人才工作队伍的政治素质和业务水平。</w:t>
      </w:r>
    </w:p>
    <w:p w:rsidR="00E61A21" w:rsidRPr="006456F9" w:rsidRDefault="00E61A21" w:rsidP="00DF399B">
      <w:pPr>
        <w:spacing w:line="600" w:lineRule="exact"/>
        <w:ind w:firstLineChars="200" w:firstLine="640"/>
        <w:rPr>
          <w:rFonts w:ascii="楷体_GB2312" w:eastAsia="楷体_GB2312"/>
          <w:sz w:val="32"/>
          <w:szCs w:val="32"/>
        </w:rPr>
      </w:pPr>
      <w:bookmarkStart w:id="31" w:name="_Toc469611625"/>
      <w:r w:rsidRPr="006456F9">
        <w:rPr>
          <w:rFonts w:ascii="楷体_GB2312" w:eastAsia="楷体_GB2312" w:hint="eastAsia"/>
          <w:sz w:val="32"/>
          <w:szCs w:val="32"/>
        </w:rPr>
        <w:t>（四）营造良好环境</w:t>
      </w:r>
      <w:bookmarkEnd w:id="31"/>
    </w:p>
    <w:p w:rsidR="00E61A21" w:rsidRDefault="00E61A21" w:rsidP="008E57EE">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充分利用各种媒体，多层面、多形式地大力宣传人才发展的新思想、新理念，宣传人才工作的新动向、新政策，宣传一批重才爱才的“好伯乐”、人才创业创新先进典型，大力营造勇于创新、鼓励成功、宽容失败的文化环境，努力形成“人人皆可成才，人人尽展其才”的良好风尚。</w:t>
      </w:r>
    </w:p>
    <w:sectPr w:rsidR="00E61A21" w:rsidSect="0042135D">
      <w:headerReference w:type="default" r:id="rId6"/>
      <w:footerReference w:type="default" r:id="rId7"/>
      <w:pgSz w:w="11906" w:h="16838" w:code="9"/>
      <w:pgMar w:top="1701" w:right="1701" w:bottom="1418"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A21" w:rsidRDefault="00E61A21" w:rsidP="00015DB0">
      <w:r>
        <w:separator/>
      </w:r>
    </w:p>
  </w:endnote>
  <w:endnote w:type="continuationSeparator" w:id="0">
    <w:p w:rsidR="00E61A21" w:rsidRDefault="00E61A21" w:rsidP="00015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21" w:rsidRDefault="00E61A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1A21" w:rsidRDefault="00E61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A21" w:rsidRDefault="00E61A21" w:rsidP="00015DB0">
      <w:r>
        <w:separator/>
      </w:r>
    </w:p>
  </w:footnote>
  <w:footnote w:type="continuationSeparator" w:id="0">
    <w:p w:rsidR="00E61A21" w:rsidRDefault="00E61A21" w:rsidP="00015DB0">
      <w:r>
        <w:continuationSeparator/>
      </w:r>
    </w:p>
  </w:footnote>
  <w:footnote w:id="1">
    <w:p w:rsidR="00E61A21" w:rsidRDefault="00E61A21">
      <w:pPr>
        <w:pStyle w:val="FootnoteText"/>
      </w:pPr>
      <w:r>
        <w:rPr>
          <w:rStyle w:val="FootnoteReference"/>
        </w:rPr>
        <w:footnoteRef/>
      </w:r>
      <w:r>
        <w:t xml:space="preserve"> </w:t>
      </w:r>
      <w:r>
        <w:rPr>
          <w:rFonts w:hint="eastAsia"/>
        </w:rPr>
        <w:t>高精尖缺：高层次、精通业务、技术和学术顶尖、紧缺急需。</w:t>
      </w:r>
    </w:p>
  </w:footnote>
  <w:footnote w:id="2">
    <w:p w:rsidR="00E61A21" w:rsidRDefault="00E61A21">
      <w:pPr>
        <w:pStyle w:val="FootnoteText"/>
      </w:pPr>
      <w:r>
        <w:rPr>
          <w:rStyle w:val="FootnoteReference"/>
        </w:rPr>
        <w:footnoteRef/>
      </w:r>
      <w:r>
        <w:rPr>
          <w:rFonts w:hint="eastAsia"/>
        </w:rPr>
        <w:t>业绩突出的单位或团队，可适当增加绩效工资总量；高层次人才的收入分配、科研人员承担企业科研项目所获收入、科技成果转化奖励、科研经费绩效奖励，均不纳入绩效工资总量。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21" w:rsidRDefault="00E61A21" w:rsidP="009272A3">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826"/>
    <w:rsid w:val="000042B8"/>
    <w:rsid w:val="00012DD8"/>
    <w:rsid w:val="00015218"/>
    <w:rsid w:val="00015DB0"/>
    <w:rsid w:val="00023970"/>
    <w:rsid w:val="00027D8F"/>
    <w:rsid w:val="00031185"/>
    <w:rsid w:val="00032A7F"/>
    <w:rsid w:val="00035A73"/>
    <w:rsid w:val="00035E99"/>
    <w:rsid w:val="00053B51"/>
    <w:rsid w:val="00062154"/>
    <w:rsid w:val="00081C78"/>
    <w:rsid w:val="00094BE8"/>
    <w:rsid w:val="000957DA"/>
    <w:rsid w:val="000A0891"/>
    <w:rsid w:val="000A51A4"/>
    <w:rsid w:val="000B194C"/>
    <w:rsid w:val="000C0709"/>
    <w:rsid w:val="000C44FB"/>
    <w:rsid w:val="000C59C7"/>
    <w:rsid w:val="000C6F29"/>
    <w:rsid w:val="000D0EC4"/>
    <w:rsid w:val="000D48BB"/>
    <w:rsid w:val="000E4E5C"/>
    <w:rsid w:val="000F13C8"/>
    <w:rsid w:val="000F1BAF"/>
    <w:rsid w:val="001038CC"/>
    <w:rsid w:val="00103C10"/>
    <w:rsid w:val="00105D9E"/>
    <w:rsid w:val="00117D91"/>
    <w:rsid w:val="00133D33"/>
    <w:rsid w:val="00134590"/>
    <w:rsid w:val="00135454"/>
    <w:rsid w:val="00136EDC"/>
    <w:rsid w:val="001404A0"/>
    <w:rsid w:val="00140ED5"/>
    <w:rsid w:val="00143527"/>
    <w:rsid w:val="001475A0"/>
    <w:rsid w:val="00153F1A"/>
    <w:rsid w:val="00164A68"/>
    <w:rsid w:val="0018420C"/>
    <w:rsid w:val="00184A7D"/>
    <w:rsid w:val="001943AA"/>
    <w:rsid w:val="0019539F"/>
    <w:rsid w:val="001956E9"/>
    <w:rsid w:val="00195C90"/>
    <w:rsid w:val="001B2029"/>
    <w:rsid w:val="001B3A71"/>
    <w:rsid w:val="001C11E0"/>
    <w:rsid w:val="001C1DA8"/>
    <w:rsid w:val="001C2484"/>
    <w:rsid w:val="001C5272"/>
    <w:rsid w:val="001C646E"/>
    <w:rsid w:val="001C70B9"/>
    <w:rsid w:val="001D0223"/>
    <w:rsid w:val="001E18B4"/>
    <w:rsid w:val="001E2FFB"/>
    <w:rsid w:val="001E3EC3"/>
    <w:rsid w:val="001E557A"/>
    <w:rsid w:val="00204CBE"/>
    <w:rsid w:val="00205413"/>
    <w:rsid w:val="0020741E"/>
    <w:rsid w:val="00210488"/>
    <w:rsid w:val="00216964"/>
    <w:rsid w:val="0022199D"/>
    <w:rsid w:val="00235E56"/>
    <w:rsid w:val="002434C0"/>
    <w:rsid w:val="00245673"/>
    <w:rsid w:val="00252DC4"/>
    <w:rsid w:val="00256BC2"/>
    <w:rsid w:val="002602FD"/>
    <w:rsid w:val="002643D6"/>
    <w:rsid w:val="0027562A"/>
    <w:rsid w:val="00277C35"/>
    <w:rsid w:val="00281CC1"/>
    <w:rsid w:val="0028401C"/>
    <w:rsid w:val="002A1255"/>
    <w:rsid w:val="002A2A8B"/>
    <w:rsid w:val="002A3125"/>
    <w:rsid w:val="002A5BBB"/>
    <w:rsid w:val="002A5D23"/>
    <w:rsid w:val="002B4F9A"/>
    <w:rsid w:val="002C2E8C"/>
    <w:rsid w:val="002D25C2"/>
    <w:rsid w:val="002D4DDF"/>
    <w:rsid w:val="002D60C0"/>
    <w:rsid w:val="002E2F86"/>
    <w:rsid w:val="002E3AC8"/>
    <w:rsid w:val="002E58C8"/>
    <w:rsid w:val="002F680C"/>
    <w:rsid w:val="0031050C"/>
    <w:rsid w:val="003152C7"/>
    <w:rsid w:val="00316A24"/>
    <w:rsid w:val="00316D87"/>
    <w:rsid w:val="00326737"/>
    <w:rsid w:val="0033396B"/>
    <w:rsid w:val="00334EA8"/>
    <w:rsid w:val="0033577C"/>
    <w:rsid w:val="00353BF1"/>
    <w:rsid w:val="0035648D"/>
    <w:rsid w:val="00357FF4"/>
    <w:rsid w:val="0036596A"/>
    <w:rsid w:val="00380B21"/>
    <w:rsid w:val="00391731"/>
    <w:rsid w:val="00394207"/>
    <w:rsid w:val="0039702F"/>
    <w:rsid w:val="003A7727"/>
    <w:rsid w:val="003B3BF4"/>
    <w:rsid w:val="003B3D08"/>
    <w:rsid w:val="003B51D6"/>
    <w:rsid w:val="003B7665"/>
    <w:rsid w:val="003C56F0"/>
    <w:rsid w:val="003C5F43"/>
    <w:rsid w:val="003C70E0"/>
    <w:rsid w:val="003D5318"/>
    <w:rsid w:val="003E02E8"/>
    <w:rsid w:val="003E07A7"/>
    <w:rsid w:val="003E5FF4"/>
    <w:rsid w:val="003F218F"/>
    <w:rsid w:val="003F34EE"/>
    <w:rsid w:val="003F3F08"/>
    <w:rsid w:val="003F51F3"/>
    <w:rsid w:val="003F5650"/>
    <w:rsid w:val="00400266"/>
    <w:rsid w:val="00401A45"/>
    <w:rsid w:val="00401A4B"/>
    <w:rsid w:val="00402297"/>
    <w:rsid w:val="00405F72"/>
    <w:rsid w:val="0040627C"/>
    <w:rsid w:val="00413991"/>
    <w:rsid w:val="00416230"/>
    <w:rsid w:val="00416AAD"/>
    <w:rsid w:val="0042135D"/>
    <w:rsid w:val="004261E1"/>
    <w:rsid w:val="0043399C"/>
    <w:rsid w:val="00436688"/>
    <w:rsid w:val="0043758F"/>
    <w:rsid w:val="00441C02"/>
    <w:rsid w:val="00451838"/>
    <w:rsid w:val="0045679B"/>
    <w:rsid w:val="00462283"/>
    <w:rsid w:val="0046283F"/>
    <w:rsid w:val="0046322B"/>
    <w:rsid w:val="004720DB"/>
    <w:rsid w:val="004857C4"/>
    <w:rsid w:val="00491B5D"/>
    <w:rsid w:val="004A06BE"/>
    <w:rsid w:val="004A1C88"/>
    <w:rsid w:val="004A7AC7"/>
    <w:rsid w:val="004B20EE"/>
    <w:rsid w:val="004B3361"/>
    <w:rsid w:val="004B36DC"/>
    <w:rsid w:val="004B6685"/>
    <w:rsid w:val="004C36B4"/>
    <w:rsid w:val="004C78D6"/>
    <w:rsid w:val="004D4175"/>
    <w:rsid w:val="004E59D2"/>
    <w:rsid w:val="004F167A"/>
    <w:rsid w:val="004F193C"/>
    <w:rsid w:val="00501563"/>
    <w:rsid w:val="00511051"/>
    <w:rsid w:val="0051547A"/>
    <w:rsid w:val="00523DA4"/>
    <w:rsid w:val="00523FCC"/>
    <w:rsid w:val="00525D1C"/>
    <w:rsid w:val="00525FEA"/>
    <w:rsid w:val="005312B6"/>
    <w:rsid w:val="005352B1"/>
    <w:rsid w:val="00535DB6"/>
    <w:rsid w:val="00535E26"/>
    <w:rsid w:val="005417B6"/>
    <w:rsid w:val="0054307E"/>
    <w:rsid w:val="00545A9A"/>
    <w:rsid w:val="0055696B"/>
    <w:rsid w:val="005611BC"/>
    <w:rsid w:val="00562CC5"/>
    <w:rsid w:val="005634E0"/>
    <w:rsid w:val="00573FA5"/>
    <w:rsid w:val="005849EF"/>
    <w:rsid w:val="005854CC"/>
    <w:rsid w:val="0059359D"/>
    <w:rsid w:val="00593CC6"/>
    <w:rsid w:val="005B1A4C"/>
    <w:rsid w:val="005B351B"/>
    <w:rsid w:val="005B5D6D"/>
    <w:rsid w:val="005B6786"/>
    <w:rsid w:val="005B6DD6"/>
    <w:rsid w:val="005C3455"/>
    <w:rsid w:val="005C43B4"/>
    <w:rsid w:val="005D0DD3"/>
    <w:rsid w:val="005D5DA6"/>
    <w:rsid w:val="005E5947"/>
    <w:rsid w:val="005F4F2F"/>
    <w:rsid w:val="005F60FA"/>
    <w:rsid w:val="00601EBD"/>
    <w:rsid w:val="0060304E"/>
    <w:rsid w:val="006049D6"/>
    <w:rsid w:val="00606C49"/>
    <w:rsid w:val="006102D6"/>
    <w:rsid w:val="00617A2D"/>
    <w:rsid w:val="00617B3F"/>
    <w:rsid w:val="00620698"/>
    <w:rsid w:val="0062096F"/>
    <w:rsid w:val="006210D4"/>
    <w:rsid w:val="00621E78"/>
    <w:rsid w:val="006232E4"/>
    <w:rsid w:val="0063339C"/>
    <w:rsid w:val="006337D2"/>
    <w:rsid w:val="006345D1"/>
    <w:rsid w:val="0063582D"/>
    <w:rsid w:val="006428AD"/>
    <w:rsid w:val="006456F9"/>
    <w:rsid w:val="00645B0E"/>
    <w:rsid w:val="00650F82"/>
    <w:rsid w:val="0065549B"/>
    <w:rsid w:val="00655F46"/>
    <w:rsid w:val="006633D9"/>
    <w:rsid w:val="00664955"/>
    <w:rsid w:val="00670FDE"/>
    <w:rsid w:val="00671E3F"/>
    <w:rsid w:val="006726F0"/>
    <w:rsid w:val="00672828"/>
    <w:rsid w:val="00680315"/>
    <w:rsid w:val="00681E32"/>
    <w:rsid w:val="0069070D"/>
    <w:rsid w:val="006B4627"/>
    <w:rsid w:val="006B60EE"/>
    <w:rsid w:val="006B6320"/>
    <w:rsid w:val="006C6022"/>
    <w:rsid w:val="006E6DEA"/>
    <w:rsid w:val="006F4501"/>
    <w:rsid w:val="007001BB"/>
    <w:rsid w:val="00704905"/>
    <w:rsid w:val="0070794F"/>
    <w:rsid w:val="00713FE6"/>
    <w:rsid w:val="00720589"/>
    <w:rsid w:val="00722A29"/>
    <w:rsid w:val="00724B0B"/>
    <w:rsid w:val="0072510B"/>
    <w:rsid w:val="007401BE"/>
    <w:rsid w:val="0074307C"/>
    <w:rsid w:val="00744221"/>
    <w:rsid w:val="00746592"/>
    <w:rsid w:val="00753C9F"/>
    <w:rsid w:val="007648F6"/>
    <w:rsid w:val="00765573"/>
    <w:rsid w:val="00770DE1"/>
    <w:rsid w:val="007866B1"/>
    <w:rsid w:val="007934CB"/>
    <w:rsid w:val="00793A66"/>
    <w:rsid w:val="00794C00"/>
    <w:rsid w:val="00795517"/>
    <w:rsid w:val="00796428"/>
    <w:rsid w:val="007A4EFF"/>
    <w:rsid w:val="007A4FE1"/>
    <w:rsid w:val="007A6377"/>
    <w:rsid w:val="007B074D"/>
    <w:rsid w:val="007B5619"/>
    <w:rsid w:val="007C0D45"/>
    <w:rsid w:val="007C74EA"/>
    <w:rsid w:val="007D0BB6"/>
    <w:rsid w:val="007D4683"/>
    <w:rsid w:val="007D4B5C"/>
    <w:rsid w:val="007D4F62"/>
    <w:rsid w:val="007E12A8"/>
    <w:rsid w:val="007E552D"/>
    <w:rsid w:val="007F5A62"/>
    <w:rsid w:val="008002A8"/>
    <w:rsid w:val="008007AC"/>
    <w:rsid w:val="0080427C"/>
    <w:rsid w:val="008051F3"/>
    <w:rsid w:val="008111BB"/>
    <w:rsid w:val="0081676F"/>
    <w:rsid w:val="00820333"/>
    <w:rsid w:val="0083456B"/>
    <w:rsid w:val="00843E14"/>
    <w:rsid w:val="00851D9C"/>
    <w:rsid w:val="00852108"/>
    <w:rsid w:val="0086625B"/>
    <w:rsid w:val="00867B0E"/>
    <w:rsid w:val="00867EDC"/>
    <w:rsid w:val="00870CC9"/>
    <w:rsid w:val="00871EEF"/>
    <w:rsid w:val="00871F74"/>
    <w:rsid w:val="00881A3C"/>
    <w:rsid w:val="00881E85"/>
    <w:rsid w:val="0088349D"/>
    <w:rsid w:val="00890F3F"/>
    <w:rsid w:val="008925B9"/>
    <w:rsid w:val="00892E36"/>
    <w:rsid w:val="008A2130"/>
    <w:rsid w:val="008B0A1D"/>
    <w:rsid w:val="008B6472"/>
    <w:rsid w:val="008C21C0"/>
    <w:rsid w:val="008D3CD1"/>
    <w:rsid w:val="008E505E"/>
    <w:rsid w:val="008E57EE"/>
    <w:rsid w:val="008E7196"/>
    <w:rsid w:val="008E7D26"/>
    <w:rsid w:val="008F1A39"/>
    <w:rsid w:val="008F3F64"/>
    <w:rsid w:val="008F7794"/>
    <w:rsid w:val="00901032"/>
    <w:rsid w:val="0090277A"/>
    <w:rsid w:val="00902CB7"/>
    <w:rsid w:val="009057BA"/>
    <w:rsid w:val="00906DDB"/>
    <w:rsid w:val="00922825"/>
    <w:rsid w:val="009272A3"/>
    <w:rsid w:val="00931F94"/>
    <w:rsid w:val="00937120"/>
    <w:rsid w:val="009426C4"/>
    <w:rsid w:val="00946742"/>
    <w:rsid w:val="00947691"/>
    <w:rsid w:val="00950830"/>
    <w:rsid w:val="00954B66"/>
    <w:rsid w:val="00957966"/>
    <w:rsid w:val="009602B7"/>
    <w:rsid w:val="009745DC"/>
    <w:rsid w:val="0097758F"/>
    <w:rsid w:val="00992093"/>
    <w:rsid w:val="009938C9"/>
    <w:rsid w:val="00994A49"/>
    <w:rsid w:val="009A3F62"/>
    <w:rsid w:val="009B49DF"/>
    <w:rsid w:val="009B6CB4"/>
    <w:rsid w:val="009B711E"/>
    <w:rsid w:val="009C3ABB"/>
    <w:rsid w:val="009C694E"/>
    <w:rsid w:val="009D07A9"/>
    <w:rsid w:val="009D1A58"/>
    <w:rsid w:val="009D2821"/>
    <w:rsid w:val="009D7FB1"/>
    <w:rsid w:val="009E3B75"/>
    <w:rsid w:val="009E4BF1"/>
    <w:rsid w:val="009E634B"/>
    <w:rsid w:val="009E74DA"/>
    <w:rsid w:val="009F18CC"/>
    <w:rsid w:val="00A02978"/>
    <w:rsid w:val="00A26F07"/>
    <w:rsid w:val="00A305DC"/>
    <w:rsid w:val="00A35AB7"/>
    <w:rsid w:val="00A35EE3"/>
    <w:rsid w:val="00A44C6B"/>
    <w:rsid w:val="00A55B39"/>
    <w:rsid w:val="00A57C5E"/>
    <w:rsid w:val="00A57EB1"/>
    <w:rsid w:val="00A60118"/>
    <w:rsid w:val="00A62A1C"/>
    <w:rsid w:val="00A8209B"/>
    <w:rsid w:val="00A862CD"/>
    <w:rsid w:val="00AA2F90"/>
    <w:rsid w:val="00AA58BC"/>
    <w:rsid w:val="00AA6E86"/>
    <w:rsid w:val="00AB7A28"/>
    <w:rsid w:val="00AC17AD"/>
    <w:rsid w:val="00AC4BBA"/>
    <w:rsid w:val="00AD30F9"/>
    <w:rsid w:val="00AD690D"/>
    <w:rsid w:val="00AD6998"/>
    <w:rsid w:val="00AF0D9B"/>
    <w:rsid w:val="00AF10FA"/>
    <w:rsid w:val="00B00576"/>
    <w:rsid w:val="00B02ECE"/>
    <w:rsid w:val="00B05F1F"/>
    <w:rsid w:val="00B10FB4"/>
    <w:rsid w:val="00B1284D"/>
    <w:rsid w:val="00B160C6"/>
    <w:rsid w:val="00B208F2"/>
    <w:rsid w:val="00B20D58"/>
    <w:rsid w:val="00B23A46"/>
    <w:rsid w:val="00B30A96"/>
    <w:rsid w:val="00B327BD"/>
    <w:rsid w:val="00B36709"/>
    <w:rsid w:val="00B46FDC"/>
    <w:rsid w:val="00B53925"/>
    <w:rsid w:val="00B54C8E"/>
    <w:rsid w:val="00B554BF"/>
    <w:rsid w:val="00B651EA"/>
    <w:rsid w:val="00B65C52"/>
    <w:rsid w:val="00B65C66"/>
    <w:rsid w:val="00B82DFD"/>
    <w:rsid w:val="00B86AE8"/>
    <w:rsid w:val="00B92855"/>
    <w:rsid w:val="00BA34FF"/>
    <w:rsid w:val="00BA460E"/>
    <w:rsid w:val="00BA7DF7"/>
    <w:rsid w:val="00BB39D2"/>
    <w:rsid w:val="00BE521B"/>
    <w:rsid w:val="00BE6D3D"/>
    <w:rsid w:val="00BF0CD9"/>
    <w:rsid w:val="00C06195"/>
    <w:rsid w:val="00C10177"/>
    <w:rsid w:val="00C10EDD"/>
    <w:rsid w:val="00C17860"/>
    <w:rsid w:val="00C311F7"/>
    <w:rsid w:val="00C36489"/>
    <w:rsid w:val="00C45607"/>
    <w:rsid w:val="00C501E5"/>
    <w:rsid w:val="00C5476A"/>
    <w:rsid w:val="00C72B76"/>
    <w:rsid w:val="00C734BD"/>
    <w:rsid w:val="00C738D6"/>
    <w:rsid w:val="00C73B65"/>
    <w:rsid w:val="00C74EFF"/>
    <w:rsid w:val="00C8145A"/>
    <w:rsid w:val="00C81B39"/>
    <w:rsid w:val="00C85CAB"/>
    <w:rsid w:val="00C87059"/>
    <w:rsid w:val="00C92A12"/>
    <w:rsid w:val="00C96DEF"/>
    <w:rsid w:val="00CC3560"/>
    <w:rsid w:val="00CC3826"/>
    <w:rsid w:val="00CC4CB2"/>
    <w:rsid w:val="00CE369D"/>
    <w:rsid w:val="00CE52C9"/>
    <w:rsid w:val="00CE702B"/>
    <w:rsid w:val="00CF2ED6"/>
    <w:rsid w:val="00CF4009"/>
    <w:rsid w:val="00D036B9"/>
    <w:rsid w:val="00D049D0"/>
    <w:rsid w:val="00D137B6"/>
    <w:rsid w:val="00D138B3"/>
    <w:rsid w:val="00D14E6B"/>
    <w:rsid w:val="00D22F82"/>
    <w:rsid w:val="00D26E23"/>
    <w:rsid w:val="00D27830"/>
    <w:rsid w:val="00D37BF0"/>
    <w:rsid w:val="00D43A77"/>
    <w:rsid w:val="00D44599"/>
    <w:rsid w:val="00D50572"/>
    <w:rsid w:val="00D5159D"/>
    <w:rsid w:val="00D56F84"/>
    <w:rsid w:val="00D661CE"/>
    <w:rsid w:val="00D668F7"/>
    <w:rsid w:val="00D67DBB"/>
    <w:rsid w:val="00D70B36"/>
    <w:rsid w:val="00D72074"/>
    <w:rsid w:val="00D753AB"/>
    <w:rsid w:val="00D84BAB"/>
    <w:rsid w:val="00D86324"/>
    <w:rsid w:val="00D878E2"/>
    <w:rsid w:val="00D966B6"/>
    <w:rsid w:val="00DB2B09"/>
    <w:rsid w:val="00DB301A"/>
    <w:rsid w:val="00DB7928"/>
    <w:rsid w:val="00DC0FC6"/>
    <w:rsid w:val="00DC386C"/>
    <w:rsid w:val="00DC3A77"/>
    <w:rsid w:val="00DD12CA"/>
    <w:rsid w:val="00DD70B8"/>
    <w:rsid w:val="00DE2FC2"/>
    <w:rsid w:val="00DE35FC"/>
    <w:rsid w:val="00DF399B"/>
    <w:rsid w:val="00DF441F"/>
    <w:rsid w:val="00DF50C5"/>
    <w:rsid w:val="00E04C4D"/>
    <w:rsid w:val="00E11E2B"/>
    <w:rsid w:val="00E205CF"/>
    <w:rsid w:val="00E32261"/>
    <w:rsid w:val="00E36AE0"/>
    <w:rsid w:val="00E523A2"/>
    <w:rsid w:val="00E61A21"/>
    <w:rsid w:val="00E704E8"/>
    <w:rsid w:val="00E7060D"/>
    <w:rsid w:val="00E764F7"/>
    <w:rsid w:val="00E7787A"/>
    <w:rsid w:val="00E91F9C"/>
    <w:rsid w:val="00E92C9C"/>
    <w:rsid w:val="00E97C98"/>
    <w:rsid w:val="00EB0887"/>
    <w:rsid w:val="00EB2823"/>
    <w:rsid w:val="00EC298D"/>
    <w:rsid w:val="00EC7982"/>
    <w:rsid w:val="00ED3594"/>
    <w:rsid w:val="00EE1C2B"/>
    <w:rsid w:val="00EE3888"/>
    <w:rsid w:val="00EE3AD8"/>
    <w:rsid w:val="00EE42E0"/>
    <w:rsid w:val="00EE4B20"/>
    <w:rsid w:val="00EE5766"/>
    <w:rsid w:val="00F0284A"/>
    <w:rsid w:val="00F11AD7"/>
    <w:rsid w:val="00F11B8A"/>
    <w:rsid w:val="00F27E08"/>
    <w:rsid w:val="00F3160D"/>
    <w:rsid w:val="00F42084"/>
    <w:rsid w:val="00F446E3"/>
    <w:rsid w:val="00F61C80"/>
    <w:rsid w:val="00F640C8"/>
    <w:rsid w:val="00F65CE5"/>
    <w:rsid w:val="00F70C9B"/>
    <w:rsid w:val="00F71F65"/>
    <w:rsid w:val="00F776C2"/>
    <w:rsid w:val="00F818C0"/>
    <w:rsid w:val="00F85DAB"/>
    <w:rsid w:val="00F93777"/>
    <w:rsid w:val="00F96C15"/>
    <w:rsid w:val="00F97B47"/>
    <w:rsid w:val="00FA1EAB"/>
    <w:rsid w:val="00FA4B24"/>
    <w:rsid w:val="00FB7F7E"/>
    <w:rsid w:val="00FC3B28"/>
    <w:rsid w:val="00FE0C08"/>
    <w:rsid w:val="00FE5C9B"/>
    <w:rsid w:val="00FE6C4A"/>
    <w:rsid w:val="00FF6502"/>
    <w:rsid w:val="064847BA"/>
    <w:rsid w:val="07233493"/>
    <w:rsid w:val="081B1E8E"/>
    <w:rsid w:val="1CD60C4E"/>
    <w:rsid w:val="26A25AF6"/>
    <w:rsid w:val="27FE0C4F"/>
    <w:rsid w:val="358277B7"/>
    <w:rsid w:val="39091462"/>
    <w:rsid w:val="42F50BE5"/>
    <w:rsid w:val="44506D58"/>
    <w:rsid w:val="49B76DE7"/>
    <w:rsid w:val="4B584D42"/>
    <w:rsid w:val="4F254C6F"/>
    <w:rsid w:val="536A32ED"/>
    <w:rsid w:val="59E30E0D"/>
    <w:rsid w:val="61777C5A"/>
    <w:rsid w:val="64FB4BE8"/>
    <w:rsid w:val="6DE32766"/>
    <w:rsid w:val="6DFA1999"/>
    <w:rsid w:val="709A41CC"/>
    <w:rsid w:val="712D0B91"/>
    <w:rsid w:val="73EF76D9"/>
    <w:rsid w:val="7EBC47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5DB0"/>
    <w:pPr>
      <w:widowControl w:val="0"/>
      <w:jc w:val="both"/>
    </w:pPr>
    <w:rPr>
      <w:rFonts w:ascii="Calibri" w:hAnsi="Calibri"/>
    </w:rPr>
  </w:style>
  <w:style w:type="paragraph" w:styleId="Heading1">
    <w:name w:val="heading 1"/>
    <w:basedOn w:val="Normal"/>
    <w:next w:val="Normal"/>
    <w:link w:val="Heading1Char"/>
    <w:uiPriority w:val="99"/>
    <w:qFormat/>
    <w:rsid w:val="00015DB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015DB0"/>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015DB0"/>
    <w:pPr>
      <w:jc w:val="left"/>
      <w:outlineLvl w:val="2"/>
    </w:pPr>
    <w:rPr>
      <w:rFonts w:ascii="宋体" w:hAnsi="宋体" w:cs="宋体"/>
      <w:b/>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5DB0"/>
    <w:rPr>
      <w:rFonts w:ascii="Calibri" w:eastAsia="宋体" w:hAnsi="Calibri" w:cs="Times New Roman"/>
      <w:b/>
      <w:bCs/>
      <w:kern w:val="44"/>
      <w:sz w:val="44"/>
      <w:szCs w:val="44"/>
    </w:rPr>
  </w:style>
  <w:style w:type="character" w:customStyle="1" w:styleId="Heading2Char">
    <w:name w:val="Heading 2 Char"/>
    <w:basedOn w:val="DefaultParagraphFont"/>
    <w:link w:val="Heading2"/>
    <w:uiPriority w:val="99"/>
    <w:locked/>
    <w:rsid w:val="00015DB0"/>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Pr>
      <w:rFonts w:ascii="Calibri" w:hAnsi="Calibri" w:cs="Times New Roman"/>
      <w:b/>
      <w:bCs/>
      <w:sz w:val="32"/>
      <w:szCs w:val="32"/>
    </w:rPr>
  </w:style>
  <w:style w:type="paragraph" w:styleId="BalloonText">
    <w:name w:val="Balloon Text"/>
    <w:basedOn w:val="Normal"/>
    <w:link w:val="BalloonTextChar"/>
    <w:uiPriority w:val="99"/>
    <w:rsid w:val="00015DB0"/>
    <w:rPr>
      <w:sz w:val="18"/>
      <w:szCs w:val="18"/>
    </w:rPr>
  </w:style>
  <w:style w:type="character" w:customStyle="1" w:styleId="BalloonTextChar">
    <w:name w:val="Balloon Text Char"/>
    <w:basedOn w:val="DefaultParagraphFont"/>
    <w:link w:val="BalloonText"/>
    <w:uiPriority w:val="99"/>
    <w:semiHidden/>
    <w:locked/>
    <w:rsid w:val="00015DB0"/>
    <w:rPr>
      <w:rFonts w:ascii="Calibri" w:eastAsia="宋体" w:hAnsi="Calibri" w:cs="Times New Roman"/>
      <w:sz w:val="18"/>
      <w:szCs w:val="18"/>
    </w:rPr>
  </w:style>
  <w:style w:type="paragraph" w:styleId="Footer">
    <w:name w:val="footer"/>
    <w:basedOn w:val="Normal"/>
    <w:link w:val="FooterChar"/>
    <w:uiPriority w:val="99"/>
    <w:rsid w:val="00015D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15DB0"/>
    <w:rPr>
      <w:rFonts w:ascii="Calibri" w:eastAsia="宋体" w:hAnsi="Calibri" w:cs="Times New Roman"/>
      <w:sz w:val="18"/>
      <w:szCs w:val="18"/>
    </w:rPr>
  </w:style>
  <w:style w:type="paragraph" w:styleId="Header">
    <w:name w:val="header"/>
    <w:basedOn w:val="Normal"/>
    <w:link w:val="HeaderChar"/>
    <w:uiPriority w:val="99"/>
    <w:rsid w:val="00015D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15DB0"/>
    <w:rPr>
      <w:rFonts w:ascii="Calibri" w:eastAsia="宋体" w:hAnsi="Calibri" w:cs="Times New Roman"/>
      <w:sz w:val="18"/>
      <w:szCs w:val="18"/>
    </w:rPr>
  </w:style>
  <w:style w:type="paragraph" w:styleId="TOC1">
    <w:name w:val="toc 1"/>
    <w:basedOn w:val="Normal"/>
    <w:next w:val="Normal"/>
    <w:uiPriority w:val="99"/>
    <w:rsid w:val="00015DB0"/>
  </w:style>
  <w:style w:type="paragraph" w:styleId="FootnoteText">
    <w:name w:val="footnote text"/>
    <w:basedOn w:val="Normal"/>
    <w:link w:val="FootnoteTextChar"/>
    <w:uiPriority w:val="99"/>
    <w:rsid w:val="00015DB0"/>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015DB0"/>
    <w:rPr>
      <w:rFonts w:ascii="Calibri" w:eastAsia="宋体" w:hAnsi="Calibri" w:cs="Times New Roman"/>
      <w:sz w:val="18"/>
      <w:szCs w:val="18"/>
    </w:rPr>
  </w:style>
  <w:style w:type="paragraph" w:styleId="TOC2">
    <w:name w:val="toc 2"/>
    <w:basedOn w:val="Normal"/>
    <w:next w:val="Normal"/>
    <w:uiPriority w:val="99"/>
    <w:rsid w:val="00015DB0"/>
    <w:pPr>
      <w:ind w:leftChars="200" w:left="420"/>
    </w:pPr>
  </w:style>
  <w:style w:type="paragraph" w:styleId="NormalWeb">
    <w:name w:val="Normal (Web)"/>
    <w:basedOn w:val="Normal"/>
    <w:uiPriority w:val="99"/>
    <w:rsid w:val="00015DB0"/>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015DB0"/>
    <w:rPr>
      <w:rFonts w:cs="Times New Roman"/>
    </w:rPr>
  </w:style>
  <w:style w:type="character" w:styleId="Hyperlink">
    <w:name w:val="Hyperlink"/>
    <w:basedOn w:val="DefaultParagraphFont"/>
    <w:uiPriority w:val="99"/>
    <w:rsid w:val="00015DB0"/>
    <w:rPr>
      <w:rFonts w:cs="Times New Roman"/>
      <w:color w:val="0000FF"/>
      <w:u w:val="single"/>
    </w:rPr>
  </w:style>
  <w:style w:type="character" w:styleId="FootnoteReference">
    <w:name w:val="footnote reference"/>
    <w:basedOn w:val="DefaultParagraphFont"/>
    <w:uiPriority w:val="99"/>
    <w:rsid w:val="00015DB0"/>
    <w:rPr>
      <w:rFonts w:cs="Times New Roman"/>
      <w:vertAlign w:val="superscript"/>
    </w:rPr>
  </w:style>
  <w:style w:type="paragraph" w:customStyle="1" w:styleId="ListParagraph1">
    <w:name w:val="List Paragraph1"/>
    <w:basedOn w:val="Normal"/>
    <w:uiPriority w:val="99"/>
    <w:rsid w:val="00015DB0"/>
    <w:pPr>
      <w:ind w:firstLineChars="200" w:firstLine="420"/>
    </w:pPr>
  </w:style>
  <w:style w:type="character" w:customStyle="1" w:styleId="apple-converted-space">
    <w:name w:val="apple-converted-space"/>
    <w:basedOn w:val="DefaultParagraphFont"/>
    <w:uiPriority w:val="99"/>
    <w:rsid w:val="00015DB0"/>
    <w:rPr>
      <w:rFonts w:cs="Times New Roman"/>
    </w:rPr>
  </w:style>
  <w:style w:type="paragraph" w:styleId="Date">
    <w:name w:val="Date"/>
    <w:basedOn w:val="Normal"/>
    <w:next w:val="Normal"/>
    <w:link w:val="DateChar"/>
    <w:uiPriority w:val="99"/>
    <w:rsid w:val="0042135D"/>
    <w:pPr>
      <w:ind w:leftChars="2500" w:left="100"/>
    </w:pPr>
  </w:style>
  <w:style w:type="character" w:customStyle="1" w:styleId="DateChar">
    <w:name w:val="Date Char"/>
    <w:basedOn w:val="DefaultParagraphFont"/>
    <w:link w:val="Date"/>
    <w:uiPriority w:val="99"/>
    <w:semiHidden/>
    <w:locked/>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21</Pages>
  <Words>1612</Words>
  <Characters>9190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中共青田县委人才工作领导小组文件</dc:title>
  <dc:subject/>
  <dc:creator>周爱飞</dc:creator>
  <cp:keywords/>
  <dc:description/>
  <cp:lastModifiedBy>Administrator</cp:lastModifiedBy>
  <cp:revision>8</cp:revision>
  <cp:lastPrinted>2017-01-18T07:19:00Z</cp:lastPrinted>
  <dcterms:created xsi:type="dcterms:W3CDTF">2017-03-07T00:52:00Z</dcterms:created>
  <dcterms:modified xsi:type="dcterms:W3CDTF">2017-06-06T02:44:00Z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