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  <w:shd w:val="clear" w:color="auto" w:fill="FFFFFF"/>
        </w:rPr>
      </w:pPr>
      <w:r>
        <w:rPr>
          <w:rFonts w:hint="eastAsia"/>
          <w:b/>
          <w:bCs/>
          <w:sz w:val="48"/>
          <w:szCs w:val="48"/>
          <w:shd w:val="clear" w:color="auto" w:fill="FFFFFF"/>
        </w:rPr>
        <w:t xml:space="preserve"> </w:t>
      </w:r>
    </w:p>
    <w:p>
      <w:pPr>
        <w:jc w:val="center"/>
        <w:rPr>
          <w:rFonts w:hint="eastAsia" w:eastAsiaTheme="minorEastAsia"/>
          <w:b/>
          <w:bCs/>
          <w:color w:val="auto"/>
          <w:sz w:val="48"/>
          <w:szCs w:val="48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auto"/>
          <w:sz w:val="48"/>
          <w:szCs w:val="48"/>
          <w:shd w:val="clear" w:color="auto" w:fill="FFFFFF"/>
        </w:rPr>
        <w:t>青田县赴浙江师范大学招聘中小学教师</w:t>
      </w:r>
      <w:r>
        <w:rPr>
          <w:rFonts w:hint="eastAsia"/>
          <w:b/>
          <w:bCs/>
          <w:color w:val="auto"/>
          <w:sz w:val="48"/>
          <w:szCs w:val="48"/>
          <w:shd w:val="clear" w:color="auto" w:fill="FFFFFF"/>
          <w:lang w:eastAsia="zh-CN"/>
        </w:rPr>
        <w:t>补充</w:t>
      </w:r>
      <w:r>
        <w:rPr>
          <w:rFonts w:hint="eastAsia"/>
          <w:b/>
          <w:bCs/>
          <w:color w:val="auto"/>
          <w:sz w:val="48"/>
          <w:szCs w:val="48"/>
          <w:shd w:val="clear" w:color="auto" w:fill="FFFFFF"/>
        </w:rPr>
        <w:t>公告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2"/>
        <w:rPr>
          <w:rFonts w:asciiTheme="minorEastAsia" w:hAnsiTheme="minorEastAsia" w:eastAsiaTheme="minorEastAsia"/>
          <w:color w:val="auto"/>
          <w:sz w:val="28"/>
          <w:szCs w:val="28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根据《浙江省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2022届高校毕业生师范类专场招聘会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暨第十二届公费师范毕业生就业双选会邀请函》要求，鉴于招聘会采用线上双选会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形式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的变化，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经研究决定，青田县赴浙江师范大学公开招聘教师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的报名方式及考试地点等事宜作相应调整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。现将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有关调整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事宜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补充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公告如下：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textAlignment w:val="auto"/>
        <w:rPr>
          <w:rFonts w:hint="eastAsia" w:asciiTheme="minorEastAsia" w:hAnsiTheme="minorEastAsia" w:eastAsiaTheme="minorEastAsia"/>
          <w:b/>
          <w:color w:val="auto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  <w:highlight w:val="none"/>
        </w:rPr>
        <w:t>一、</w:t>
      </w: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  <w:highlight w:val="none"/>
          <w:lang w:eastAsia="zh-CN"/>
        </w:rPr>
        <w:t>《青田县赴浙江师范大学招聘中小学教师公告》中的</w:t>
      </w: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  <w:highlight w:val="none"/>
        </w:rPr>
        <w:t>招聘</w:t>
      </w: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  <w:highlight w:val="none"/>
          <w:lang w:eastAsia="zh-CN"/>
        </w:rPr>
        <w:t>信息除报名方式与考试地点外其他均不变。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Theme="minorEastAsia" w:hAnsiTheme="minorEastAsia" w:eastAsiaTheme="minorEastAsia"/>
          <w:b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  <w:lang w:eastAsia="zh-CN"/>
        </w:rPr>
        <w:t>二、报名方式与考试地点调整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（一）</w:t>
      </w:r>
      <w:r>
        <w:rPr>
          <w:rFonts w:hint="eastAsia" w:asciiTheme="minorEastAsia" w:hAnsiTheme="minorEastAsia" w:eastAsiaTheme="minorEastAsia"/>
          <w:sz w:val="28"/>
          <w:szCs w:val="28"/>
        </w:rPr>
        <w:t>报名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 xml:space="preserve"> 1.报名时间：报名时间为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补充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公告发布之日起至11月1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日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17时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止，逾期不再接受报名。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2.报名方式：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采用网络报名，报名方式如下：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default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）点击网址进行报名：报名链接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fldChar w:fldCharType="begin"/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instrText xml:space="preserve"> HYPERLINK "https://s9cisrdu74.jiandaoyun.com/f/6188ce6393d0e0000790c178" \t "_blank" </w:instrTex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fldChar w:fldCharType="separate"/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https://s9cisrdu74.jiandaoyun.com/f/6188ce6393d0e0000790c178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652780</wp:posOffset>
            </wp:positionV>
            <wp:extent cx="1426210" cy="1426210"/>
            <wp:effectExtent l="0" t="0" r="2540" b="2540"/>
            <wp:wrapTopAndBottom/>
            <wp:docPr id="7" name="图片 7" descr="青田县教育局应聘人员基本情况登记表（报名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青田县教育局应聘人员基本情况登记表（报名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）扫描二维码进行报名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报名信息及初审状态查询：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报名成功后可采用以下方式进行信息查询。查询链接：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fldChar w:fldCharType="begin"/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instrText xml:space="preserve"> HYPERLINK "https://s9cisrdu74.jiandaoyun.com/q/6188ce6393d0e0000790c178" \t "_blank" </w:instrTex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fldChar w:fldCharType="separate"/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https://s9cisrdu74.jiandaoyun.com/q/6188ce6393d0e0000790c178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fldChar w:fldCharType="end"/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jc w:val="center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drawing>
          <wp:inline distT="0" distB="0" distL="114300" distR="114300">
            <wp:extent cx="1582420" cy="1582420"/>
            <wp:effectExtent l="0" t="0" r="17780" b="17780"/>
            <wp:docPr id="8" name="图片 8" descr="青田县教育局应聘人员基本情况登记表（查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青田县教育局应聘人员基本情况登记表（查询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3435" w:firstLineChars="1227"/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查询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二维码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2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.经资格初审，通知符合招聘条件的人员参加考试。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highlight w:val="none"/>
          <w:shd w:val="clear" w:fill="FFFFFF"/>
        </w:rPr>
        <w:t>请各应聘人员在此期间保持手机畅通，否则，视为应聘人员自动放弃本次考试资格。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2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（二）考试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2"/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1.考试时间与地点：考生于2021年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11月27日8时前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到青田县教师进修学校（江南实验学校综合楼四楼）。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2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资格复审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通过资格初审的应聘人</w:t>
      </w:r>
      <w:r>
        <w:rPr>
          <w:rFonts w:hint="eastAsia" w:asciiTheme="minorEastAsia" w:hAnsiTheme="minorEastAsia" w:eastAsiaTheme="minorEastAsia"/>
          <w:sz w:val="28"/>
          <w:szCs w:val="28"/>
        </w:rPr>
        <w:t>员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携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《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个人健康申报表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》《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青田县教育局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应聘人员基本情况登记表》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（报名系统下载打印件）及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学校核发的就业推荐表、师范生证明、教育部学生司制发的《全国普通高校毕业生就业协议书》（网签学校凭网页截图）、相关荣誉证书等相关证件（原件及复印件），到考试现场进行资格复审。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3.考试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：考生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经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资格复审后参加专业测试。</w:t>
      </w:r>
      <w:r>
        <w:rPr>
          <w:rFonts w:asciiTheme="minorEastAsia" w:hAnsiTheme="minorEastAsia" w:eastAsiaTheme="minorEastAsia"/>
          <w:sz w:val="28"/>
          <w:szCs w:val="28"/>
        </w:rPr>
        <w:t>根据测试</w:t>
      </w:r>
      <w:r>
        <w:rPr>
          <w:rFonts w:hint="eastAsia" w:asciiTheme="minorEastAsia" w:hAnsiTheme="minorEastAsia" w:eastAsiaTheme="minorEastAsia"/>
          <w:sz w:val="28"/>
          <w:szCs w:val="28"/>
        </w:rPr>
        <w:t>结果</w:t>
      </w:r>
      <w:r>
        <w:rPr>
          <w:rFonts w:asciiTheme="minorEastAsia" w:hAnsiTheme="minorEastAsia" w:eastAsiaTheme="minorEastAsia"/>
          <w:sz w:val="28"/>
          <w:szCs w:val="28"/>
        </w:rPr>
        <w:t>，择优现场签订就业协议。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疫情防控要求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/>
          <w:sz w:val="28"/>
          <w:szCs w:val="28"/>
        </w:rPr>
        <w:t>请参加招聘的考生务必严格按照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青田县</w:t>
      </w:r>
      <w:r>
        <w:rPr>
          <w:rFonts w:hint="eastAsia" w:asciiTheme="minorEastAsia" w:hAnsiTheme="minorEastAsia" w:eastAsiaTheme="minorEastAsia"/>
          <w:sz w:val="28"/>
          <w:szCs w:val="28"/>
        </w:rPr>
        <w:t>新型冠状病毒肺炎疫情防控工作领导小组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疫情防控最新要求，</w:t>
      </w:r>
      <w:r>
        <w:rPr>
          <w:rFonts w:hint="eastAsia" w:asciiTheme="minorEastAsia" w:hAnsiTheme="minorEastAsia" w:eastAsiaTheme="minorEastAsia"/>
          <w:sz w:val="28"/>
          <w:szCs w:val="28"/>
        </w:rPr>
        <w:t>做好个人疫情防控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，尤其做好来青途中及在青期间的个人防控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措施，减少前往密闭和人员聚集场所，不聚集、不扎堆。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因疫情防控等原</w:t>
      </w:r>
      <w:r>
        <w:rPr>
          <w:rFonts w:hint="eastAsia" w:asciiTheme="minorEastAsia" w:hAnsiTheme="minorEastAsia" w:eastAsiaTheme="minorEastAsia"/>
          <w:sz w:val="28"/>
          <w:szCs w:val="28"/>
        </w:rPr>
        <w:t>因无法参加考试的，视为缺考。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2.考生应在考试前14天申领“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浙江</w:t>
      </w:r>
      <w:r>
        <w:rPr>
          <w:rFonts w:hint="eastAsia" w:asciiTheme="minorEastAsia" w:hAnsiTheme="minorEastAsia" w:eastAsiaTheme="minorEastAsia"/>
          <w:sz w:val="28"/>
          <w:szCs w:val="28"/>
        </w:rPr>
        <w:t>健康码”和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“通信大数据行程卡”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近14天有浙江省外旅居史的或“通信大数据行程卡”显示途经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省外城市的考生不得参加考试。</w:t>
      </w:r>
      <w:r>
        <w:rPr>
          <w:rFonts w:hint="eastAsia" w:asciiTheme="minorEastAsia" w:hAnsiTheme="minorEastAsia" w:eastAsiaTheme="minorEastAsia"/>
          <w:sz w:val="28"/>
          <w:szCs w:val="28"/>
        </w:rPr>
        <w:t>考前 28 天内入境人员和考前 21 天来自国内中高风险地区人员不得参加考试。“行程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卡</w:t>
      </w:r>
      <w:r>
        <w:rPr>
          <w:rFonts w:hint="eastAsia" w:asciiTheme="minorEastAsia" w:hAnsiTheme="minorEastAsia" w:eastAsiaTheme="minorEastAsia"/>
          <w:sz w:val="28"/>
          <w:szCs w:val="28"/>
        </w:rPr>
        <w:t>”和“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浙江</w:t>
      </w:r>
      <w:r>
        <w:rPr>
          <w:rFonts w:hint="eastAsia" w:asciiTheme="minorEastAsia" w:hAnsiTheme="minorEastAsia" w:eastAsiaTheme="minorEastAsia"/>
          <w:sz w:val="28"/>
          <w:szCs w:val="28"/>
        </w:rPr>
        <w:t>健康码”非绿码的考生，不得参加考试。按照疫情防控要求需提供相关健康证明但无法提供的考生，不得参加考试。考生可依据自身情况提前做好准备。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“通信大数据行程卡”和“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浙江</w:t>
      </w:r>
      <w:r>
        <w:rPr>
          <w:rFonts w:hint="eastAsia" w:asciiTheme="minorEastAsia" w:hAnsiTheme="minorEastAsia" w:eastAsiaTheme="minorEastAsia"/>
          <w:sz w:val="28"/>
          <w:szCs w:val="28"/>
        </w:rPr>
        <w:t>健康码”为绿码且健康状况良好，经现场测量体温正常的考生方可参加考试。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4.考生应自备一次性医用外科口罩，并全程佩戴口罩。在核对身份证件材料时，考生应摘下口罩，并尽量缩短时间，以便工作人员确认是否为考生本人。等候期间，每位考生须保持间隔为1米以上的安全距离。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/>
          <w:sz w:val="28"/>
          <w:szCs w:val="28"/>
        </w:rPr>
        <w:t>考生应当服从配合疫情防控要求和考试现场组织工作。“行程码”和“健康码”非绿码或出现可疑症状的考生，应在当地疾控机构指导下按规定处置。对连续3次体温测量超过37.3℃的考生，应听从工作人员安排迅速转移到临时隔离区域，并做好个人防护，送至定点医院发热门诊就医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.考生应当履行个人健康证明义务及防疫相关要求事项。考生在报名前下载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《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个人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健康申报表》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（附件）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按要求如实填写申报表，在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考试</w:t>
      </w:r>
      <w:r>
        <w:rPr>
          <w:rFonts w:hint="eastAsia" w:asciiTheme="minorEastAsia" w:hAnsiTheme="minorEastAsia" w:eastAsiaTheme="minorEastAsia"/>
          <w:sz w:val="28"/>
          <w:szCs w:val="28"/>
        </w:rPr>
        <w:t>当天上交考务工作人员。凡隐瞒或谎报旅居史、接触史、健康状况等疫情防控重点信息的，不配合工作人员进行健康检疫、询问、查询、送诊等造成严重后果的，取消其相应资格，如有违法行为将依法追究法律责任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密切关注国内中高风险地区的变化，</w:t>
      </w:r>
      <w:r>
        <w:rPr>
          <w:rFonts w:hint="eastAsia" w:asciiTheme="minorEastAsia" w:hAnsiTheme="minorEastAsia" w:eastAsiaTheme="minorEastAsia"/>
          <w:sz w:val="28"/>
          <w:szCs w:val="28"/>
        </w:rPr>
        <w:t>如有最新防疫举措，以届时疫情防控要求为准。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eastAsia="zh-CN"/>
        </w:rPr>
        <w:t>如有变动，另行通知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咨询电话：青田县教育局</w:t>
      </w:r>
      <w:r>
        <w:rPr>
          <w:rFonts w:asciiTheme="minorEastAsia" w:hAnsiTheme="minorEastAsia" w:eastAsiaTheme="minorEastAsia"/>
          <w:sz w:val="28"/>
          <w:szCs w:val="28"/>
        </w:rPr>
        <w:t>0578—6822583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、</w:t>
      </w:r>
      <w:r>
        <w:rPr>
          <w:rFonts w:asciiTheme="minorEastAsia" w:hAnsiTheme="minorEastAsia" w:eastAsiaTheme="minorEastAsia"/>
          <w:sz w:val="28"/>
          <w:szCs w:val="28"/>
        </w:rPr>
        <w:t>0578—68</w:t>
      </w:r>
      <w:r>
        <w:rPr>
          <w:rFonts w:hint="eastAsia" w:asciiTheme="minorEastAsia" w:hAnsiTheme="minorEastAsia" w:eastAsiaTheme="minorEastAsia"/>
          <w:sz w:val="28"/>
          <w:szCs w:val="28"/>
        </w:rPr>
        <w:t>24892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、</w:t>
      </w:r>
      <w:r>
        <w:rPr>
          <w:rFonts w:asciiTheme="minorEastAsia" w:hAnsiTheme="minorEastAsia" w:eastAsiaTheme="minorEastAsia"/>
          <w:sz w:val="28"/>
          <w:szCs w:val="28"/>
        </w:rPr>
        <w:t>0578—6835193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，青田县人力资源和社会保障局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t>0578—6822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270。</w:t>
      </w:r>
    </w:p>
    <w:p>
      <w:pPr>
        <w:widowControl/>
        <w:spacing w:line="560" w:lineRule="exact"/>
        <w:ind w:firstLine="560" w:firstLineChars="200"/>
        <w:jc w:val="lef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sz w:val="28"/>
          <w:szCs w:val="28"/>
        </w:rPr>
        <w:t>附件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个人</w:t>
      </w:r>
      <w:r>
        <w:rPr>
          <w:rFonts w:hint="eastAsia" w:asciiTheme="minorEastAsia" w:hAnsiTheme="minorEastAsia" w:eastAsiaTheme="minorEastAsia"/>
          <w:sz w:val="28"/>
          <w:szCs w:val="28"/>
        </w:rPr>
        <w:t>健康申报表</w:t>
      </w:r>
    </w:p>
    <w:p>
      <w:pPr>
        <w:widowControl/>
        <w:shd w:val="clear" w:color="auto" w:fill="FFFFFF"/>
        <w:spacing w:line="560" w:lineRule="exact"/>
        <w:ind w:firstLine="1120" w:firstLineChars="400"/>
        <w:rPr>
          <w:rFonts w:hint="eastAsia" w:asciiTheme="minorEastAsia" w:hAnsiTheme="minorEastAsia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1120" w:firstLineChars="400"/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青田县人力资源和社会保障局 青田县教育局</w:t>
      </w:r>
    </w:p>
    <w:p>
      <w:pPr>
        <w:widowControl/>
        <w:shd w:val="clear" w:color="auto" w:fill="FFFFFF"/>
        <w:spacing w:line="560" w:lineRule="exact"/>
        <w:ind w:firstLine="5600" w:firstLineChars="2000"/>
        <w:jc w:val="right"/>
        <w:rPr>
          <w:rFonts w:cs="宋体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2021年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widowControl/>
        <w:spacing w:after="150"/>
        <w:ind w:firstLine="560"/>
        <w:jc w:val="left"/>
        <w:rPr>
          <w:rFonts w:cs="宋体" w:asciiTheme="minorEastAsia" w:hAnsiTheme="minorEastAsia"/>
          <w:sz w:val="28"/>
          <w:szCs w:val="28"/>
        </w:rPr>
      </w:pPr>
    </w:p>
    <w:p>
      <w:pPr>
        <w:widowControl/>
        <w:spacing w:after="150"/>
        <w:ind w:firstLine="560"/>
        <w:jc w:val="left"/>
        <w:rPr>
          <w:rFonts w:cs="宋体" w:asciiTheme="minorEastAsia" w:hAnsiTheme="minorEastAsia"/>
          <w:sz w:val="28"/>
          <w:szCs w:val="28"/>
        </w:rPr>
      </w:pPr>
    </w:p>
    <w:p>
      <w:pPr>
        <w:widowControl/>
        <w:spacing w:after="150"/>
        <w:ind w:firstLine="560"/>
        <w:jc w:val="left"/>
        <w:rPr>
          <w:rFonts w:cs="宋体" w:asciiTheme="minorEastAsia" w:hAnsiTheme="minorEastAsia"/>
          <w:sz w:val="28"/>
          <w:szCs w:val="28"/>
        </w:rPr>
      </w:pPr>
    </w:p>
    <w:p>
      <w:pPr>
        <w:widowControl/>
        <w:spacing w:after="150"/>
        <w:ind w:firstLine="560"/>
        <w:jc w:val="left"/>
        <w:rPr>
          <w:rFonts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宋体" w:eastAsia="方正小标宋简体"/>
          <w:sz w:val="21"/>
          <w:szCs w:val="21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32"/>
          <w:lang w:val="en-US" w:eastAsia="zh-CN"/>
        </w:rPr>
        <w:t>个人健康申报表</w:t>
      </w:r>
    </w:p>
    <w:tbl>
      <w:tblPr>
        <w:tblStyle w:val="6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83"/>
        <w:gridCol w:w="884"/>
        <w:gridCol w:w="753"/>
        <w:gridCol w:w="1433"/>
        <w:gridCol w:w="1178"/>
        <w:gridCol w:w="703"/>
        <w:gridCol w:w="4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2581" w:type="dxa"/>
            <w:gridSpan w:val="4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身份证号码（护照）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581" w:type="dxa"/>
            <w:gridSpan w:val="4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454" w:type="dxa"/>
            <w:gridSpan w:val="6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1.近14天是否有发热、干咳、无力、鼻塞、咽痛、流涕、腹泻、结膜炎、嗅觉减退等疑似新冠“十大症状”？</w:t>
            </w: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454" w:type="dxa"/>
            <w:gridSpan w:val="6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2.近14天是否有中高风险地区旅居史？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7454" w:type="dxa"/>
            <w:gridSpan w:val="6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3.近14天是否与有中高风险地区旅游史的人员有密切接触？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454" w:type="dxa"/>
            <w:gridSpan w:val="6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4.近28天是否有国外旅居史？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454" w:type="dxa"/>
            <w:gridSpan w:val="6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5.是否与新冠肺炎确诊或疑似病例有密切接触？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454" w:type="dxa"/>
            <w:gridSpan w:val="6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6.是否已全程接种新冠病毒疫苗？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454" w:type="dxa"/>
            <w:gridSpan w:val="6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7.是否为新冠患者、无症状患者或确诊治愈病例？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857" w:type="dxa"/>
            <w:gridSpan w:val="9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备注说明：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8857" w:type="dxa"/>
            <w:gridSpan w:val="9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　　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本人承诺对上述健康信息的真实性负责。如因提供不实信息造成疫情传播、流行，本人愿承担由此带来的相关法律责任。</w:t>
            </w:r>
          </w:p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　　　　　　　　　　　申报人（承诺人）签名：</w:t>
            </w:r>
          </w:p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　　　　　　　　　　　　　　　　　　2021年  月   日</w:t>
            </w:r>
          </w:p>
        </w:tc>
      </w:tr>
    </w:tbl>
    <w:p>
      <w:pPr>
        <w:spacing w:line="560" w:lineRule="exact"/>
        <w:jc w:val="left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12297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60"/>
    <w:rsid w:val="00001299"/>
    <w:rsid w:val="00061BCD"/>
    <w:rsid w:val="00101E59"/>
    <w:rsid w:val="001567A4"/>
    <w:rsid w:val="0017466C"/>
    <w:rsid w:val="00196522"/>
    <w:rsid w:val="001C01D1"/>
    <w:rsid w:val="001C4DD6"/>
    <w:rsid w:val="00205168"/>
    <w:rsid w:val="00246376"/>
    <w:rsid w:val="00253CA5"/>
    <w:rsid w:val="002555A9"/>
    <w:rsid w:val="0028521F"/>
    <w:rsid w:val="002A50BE"/>
    <w:rsid w:val="002C51D0"/>
    <w:rsid w:val="003148C5"/>
    <w:rsid w:val="00334D41"/>
    <w:rsid w:val="003715F3"/>
    <w:rsid w:val="003A5394"/>
    <w:rsid w:val="00425323"/>
    <w:rsid w:val="00431ED4"/>
    <w:rsid w:val="00451825"/>
    <w:rsid w:val="004B4606"/>
    <w:rsid w:val="004E1F01"/>
    <w:rsid w:val="00504AFB"/>
    <w:rsid w:val="005372D7"/>
    <w:rsid w:val="005558EC"/>
    <w:rsid w:val="005D30D1"/>
    <w:rsid w:val="005D5F73"/>
    <w:rsid w:val="0062123C"/>
    <w:rsid w:val="00665495"/>
    <w:rsid w:val="006B270D"/>
    <w:rsid w:val="006E5731"/>
    <w:rsid w:val="00737436"/>
    <w:rsid w:val="007823E0"/>
    <w:rsid w:val="0079438B"/>
    <w:rsid w:val="008109D8"/>
    <w:rsid w:val="00817F56"/>
    <w:rsid w:val="008353A2"/>
    <w:rsid w:val="008471DD"/>
    <w:rsid w:val="00852C19"/>
    <w:rsid w:val="00910EEC"/>
    <w:rsid w:val="00915268"/>
    <w:rsid w:val="00936E59"/>
    <w:rsid w:val="009632EF"/>
    <w:rsid w:val="00975800"/>
    <w:rsid w:val="0099186F"/>
    <w:rsid w:val="00991EE4"/>
    <w:rsid w:val="009D53B3"/>
    <w:rsid w:val="00A73F99"/>
    <w:rsid w:val="00A76271"/>
    <w:rsid w:val="00A81264"/>
    <w:rsid w:val="00A93B8B"/>
    <w:rsid w:val="00A94722"/>
    <w:rsid w:val="00A97ED3"/>
    <w:rsid w:val="00B026AE"/>
    <w:rsid w:val="00B10660"/>
    <w:rsid w:val="00B12DEB"/>
    <w:rsid w:val="00B420C4"/>
    <w:rsid w:val="00B565B3"/>
    <w:rsid w:val="00B60DF9"/>
    <w:rsid w:val="00B77E2D"/>
    <w:rsid w:val="00B95FF2"/>
    <w:rsid w:val="00BD1DE6"/>
    <w:rsid w:val="00BD4C39"/>
    <w:rsid w:val="00BE217B"/>
    <w:rsid w:val="00C05039"/>
    <w:rsid w:val="00C64F3F"/>
    <w:rsid w:val="00C92437"/>
    <w:rsid w:val="00CC5AF2"/>
    <w:rsid w:val="00D03341"/>
    <w:rsid w:val="00D41535"/>
    <w:rsid w:val="00D501E3"/>
    <w:rsid w:val="00D75ED7"/>
    <w:rsid w:val="00D95186"/>
    <w:rsid w:val="00DB16B5"/>
    <w:rsid w:val="00DE28DC"/>
    <w:rsid w:val="00E12B3D"/>
    <w:rsid w:val="00E20C65"/>
    <w:rsid w:val="00E441C7"/>
    <w:rsid w:val="00EB56CC"/>
    <w:rsid w:val="00EF5BC9"/>
    <w:rsid w:val="00F82C9F"/>
    <w:rsid w:val="00FD71B0"/>
    <w:rsid w:val="00FF007E"/>
    <w:rsid w:val="00FF0272"/>
    <w:rsid w:val="01117A6E"/>
    <w:rsid w:val="023275B4"/>
    <w:rsid w:val="026E6C24"/>
    <w:rsid w:val="05486345"/>
    <w:rsid w:val="06613ACC"/>
    <w:rsid w:val="073A36D7"/>
    <w:rsid w:val="0EA07EF0"/>
    <w:rsid w:val="0F8322B0"/>
    <w:rsid w:val="0FAE29CD"/>
    <w:rsid w:val="115B4154"/>
    <w:rsid w:val="15D839C3"/>
    <w:rsid w:val="16F6504E"/>
    <w:rsid w:val="18177285"/>
    <w:rsid w:val="18227E86"/>
    <w:rsid w:val="184B0A3C"/>
    <w:rsid w:val="190E70D2"/>
    <w:rsid w:val="1A406FAA"/>
    <w:rsid w:val="1A734AF6"/>
    <w:rsid w:val="1D8A55FD"/>
    <w:rsid w:val="1DF44D0F"/>
    <w:rsid w:val="1E50644D"/>
    <w:rsid w:val="1EF80BC6"/>
    <w:rsid w:val="1F88267C"/>
    <w:rsid w:val="233B26AF"/>
    <w:rsid w:val="23477A7A"/>
    <w:rsid w:val="24300F8C"/>
    <w:rsid w:val="2504293A"/>
    <w:rsid w:val="254C18CF"/>
    <w:rsid w:val="29F65DBE"/>
    <w:rsid w:val="2B8B6C4A"/>
    <w:rsid w:val="2C2D2728"/>
    <w:rsid w:val="2F5047D1"/>
    <w:rsid w:val="2F656C01"/>
    <w:rsid w:val="30D67301"/>
    <w:rsid w:val="32113878"/>
    <w:rsid w:val="35EB2D1C"/>
    <w:rsid w:val="36EB51EB"/>
    <w:rsid w:val="37223156"/>
    <w:rsid w:val="37AD11EE"/>
    <w:rsid w:val="39216068"/>
    <w:rsid w:val="39B6062C"/>
    <w:rsid w:val="39BE66E9"/>
    <w:rsid w:val="3A4D3871"/>
    <w:rsid w:val="3B5318E9"/>
    <w:rsid w:val="3CD37733"/>
    <w:rsid w:val="3F2B1B44"/>
    <w:rsid w:val="443D5AA0"/>
    <w:rsid w:val="44BA51D3"/>
    <w:rsid w:val="45586440"/>
    <w:rsid w:val="476F77AF"/>
    <w:rsid w:val="47D21118"/>
    <w:rsid w:val="485928C5"/>
    <w:rsid w:val="4BF61511"/>
    <w:rsid w:val="4D2E273D"/>
    <w:rsid w:val="4DFB4EC0"/>
    <w:rsid w:val="50A301D9"/>
    <w:rsid w:val="522E4B76"/>
    <w:rsid w:val="526B17A8"/>
    <w:rsid w:val="52F168A2"/>
    <w:rsid w:val="57536603"/>
    <w:rsid w:val="58956A1B"/>
    <w:rsid w:val="58A7444A"/>
    <w:rsid w:val="59D35663"/>
    <w:rsid w:val="5B241AA6"/>
    <w:rsid w:val="5B272A95"/>
    <w:rsid w:val="5BF27589"/>
    <w:rsid w:val="5DA25847"/>
    <w:rsid w:val="5F4F7C65"/>
    <w:rsid w:val="60164332"/>
    <w:rsid w:val="611410D5"/>
    <w:rsid w:val="639A0647"/>
    <w:rsid w:val="64627F1E"/>
    <w:rsid w:val="6481532A"/>
    <w:rsid w:val="66992ED8"/>
    <w:rsid w:val="690A5212"/>
    <w:rsid w:val="6CC16EB6"/>
    <w:rsid w:val="72583D68"/>
    <w:rsid w:val="739D76CF"/>
    <w:rsid w:val="76162F46"/>
    <w:rsid w:val="76D214B3"/>
    <w:rsid w:val="770A3664"/>
    <w:rsid w:val="793E3000"/>
    <w:rsid w:val="7C7B16B9"/>
    <w:rsid w:val="7D3E3C20"/>
    <w:rsid w:val="7DEA7912"/>
    <w:rsid w:val="7EF92D72"/>
    <w:rsid w:val="7FB8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5</Pages>
  <Words>358</Words>
  <Characters>2047</Characters>
  <Lines>17</Lines>
  <Paragraphs>4</Paragraphs>
  <TotalTime>8</TotalTime>
  <ScaleCrop>false</ScaleCrop>
  <LinksUpToDate>false</LinksUpToDate>
  <CharactersWithSpaces>2401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2021-03-22T08:38:00Z</dcterms:created>
  <dc:creator>陈伟忠</dc:creator>
  <cp:lastModifiedBy>徐庆民</cp:lastModifiedBy>
  <cp:lastPrinted>2021-11-10T01:38:00Z</cp:lastPrinted>
  <dcterms:modified xsi:type="dcterms:W3CDTF">2021-11-10T04:02:10Z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