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b/>
          <w:sz w:val="44"/>
          <w:szCs w:val="44"/>
        </w:rPr>
      </w:pPr>
      <w:bookmarkStart w:id="0" w:name="_Hlk62925943"/>
      <w:bookmarkEnd w:id="0"/>
    </w:p>
    <w:p>
      <w:pPr>
        <w:pStyle w:val="12"/>
        <w:rPr>
          <w:rFonts w:ascii="黑体" w:eastAsia="黑体"/>
          <w:b/>
          <w:sz w:val="44"/>
          <w:szCs w:val="44"/>
        </w:rPr>
      </w:pPr>
    </w:p>
    <w:p>
      <w:pPr>
        <w:pStyle w:val="12"/>
        <w:rPr>
          <w:rFonts w:ascii="黑体" w:eastAsia="黑体"/>
          <w:b/>
          <w:sz w:val="44"/>
          <w:szCs w:val="44"/>
        </w:rPr>
      </w:pPr>
    </w:p>
    <w:p>
      <w:pPr>
        <w:rPr>
          <w:rFonts w:ascii="黑体" w:eastAsia="黑体"/>
          <w:b/>
          <w:sz w:val="44"/>
          <w:szCs w:val="44"/>
        </w:rPr>
      </w:pPr>
    </w:p>
    <w:p>
      <w:pPr>
        <w:spacing w:line="600" w:lineRule="auto"/>
        <w:rPr>
          <w:rFonts w:ascii="方正小标宋简体" w:hAnsi="方正小标宋简体" w:eastAsia="方正小标宋简体" w:cs="方正小标宋简体"/>
          <w:b/>
          <w:sz w:val="44"/>
          <w:szCs w:val="44"/>
        </w:rPr>
      </w:pPr>
    </w:p>
    <w:p>
      <w:pPr>
        <w:spacing w:line="600" w:lineRule="auto"/>
        <w:ind w:firstLine="0" w:firstLineChars="0"/>
        <w:jc w:val="center"/>
        <w:rPr>
          <w:rFonts w:hint="eastAsia"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青田县生态工业“十四五”发展规划</w:t>
      </w:r>
    </w:p>
    <w:p>
      <w:pPr>
        <w:pStyle w:val="2"/>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（征求意见稿）</w:t>
      </w: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rPr>
          <w:rFonts w:ascii="黑体" w:eastAsia="黑体"/>
          <w:b/>
          <w:sz w:val="44"/>
          <w:szCs w:val="44"/>
        </w:rPr>
      </w:pPr>
    </w:p>
    <w:p>
      <w:pPr>
        <w:pStyle w:val="12"/>
        <w:ind w:firstLine="442"/>
        <w:rPr>
          <w:rFonts w:ascii="黑体" w:eastAsia="黑体"/>
          <w:b/>
          <w:sz w:val="22"/>
          <w:szCs w:val="22"/>
        </w:rPr>
      </w:pPr>
    </w:p>
    <w:p>
      <w:pPr>
        <w:pStyle w:val="12"/>
        <w:ind w:firstLine="442"/>
        <w:rPr>
          <w:rFonts w:ascii="黑体" w:eastAsia="黑体"/>
          <w:b/>
          <w:sz w:val="22"/>
          <w:szCs w:val="22"/>
        </w:rPr>
      </w:pPr>
    </w:p>
    <w:p>
      <w:pPr>
        <w:pStyle w:val="12"/>
        <w:ind w:firstLine="442"/>
        <w:rPr>
          <w:rFonts w:ascii="黑体" w:eastAsia="黑体"/>
          <w:b/>
          <w:sz w:val="22"/>
          <w:szCs w:val="22"/>
        </w:rPr>
      </w:pPr>
    </w:p>
    <w:p>
      <w:pPr>
        <w:pStyle w:val="12"/>
        <w:ind w:firstLine="0" w:firstLineChars="0"/>
        <w:rPr>
          <w:rFonts w:ascii="黑体" w:eastAsia="黑体"/>
          <w:b/>
          <w:sz w:val="22"/>
          <w:szCs w:val="22"/>
        </w:rPr>
      </w:pPr>
    </w:p>
    <w:p>
      <w:pPr>
        <w:pStyle w:val="12"/>
        <w:ind w:firstLine="442"/>
        <w:rPr>
          <w:rFonts w:ascii="黑体" w:eastAsia="黑体"/>
          <w:b/>
          <w:sz w:val="22"/>
          <w:szCs w:val="22"/>
        </w:rPr>
      </w:pPr>
    </w:p>
    <w:p>
      <w:pPr>
        <w:pStyle w:val="12"/>
        <w:ind w:firstLine="442"/>
        <w:rPr>
          <w:rFonts w:eastAsia="黑体"/>
          <w:b/>
          <w:sz w:val="22"/>
          <w:szCs w:val="22"/>
        </w:rPr>
      </w:pPr>
    </w:p>
    <w:p>
      <w:pPr>
        <w:pStyle w:val="12"/>
        <w:ind w:right="2010" w:rightChars="670" w:firstLine="2399" w:firstLineChars="857"/>
        <w:jc w:val="distribute"/>
        <w:rPr>
          <w:rFonts w:eastAsia="楷体_GB2312"/>
          <w:bCs/>
          <w:sz w:val="28"/>
          <w:szCs w:val="28"/>
        </w:rPr>
      </w:pPr>
      <w:r>
        <w:rPr>
          <w:rFonts w:eastAsia="楷体_GB2312"/>
          <w:bCs/>
          <w:sz w:val="28"/>
          <w:szCs w:val="28"/>
        </w:rPr>
        <w:t>浙江省青田县经济</w:t>
      </w:r>
      <w:r>
        <w:rPr>
          <w:rFonts w:hint="eastAsia" w:eastAsia="楷体_GB2312"/>
          <w:bCs/>
          <w:sz w:val="28"/>
          <w:szCs w:val="28"/>
        </w:rPr>
        <w:t>商务</w:t>
      </w:r>
      <w:r>
        <w:rPr>
          <w:rFonts w:eastAsia="楷体_GB2312"/>
          <w:bCs/>
          <w:sz w:val="28"/>
          <w:szCs w:val="28"/>
        </w:rPr>
        <w:t>局</w:t>
      </w:r>
    </w:p>
    <w:p>
      <w:pPr>
        <w:pStyle w:val="12"/>
        <w:ind w:right="2010" w:rightChars="670" w:firstLine="2399" w:firstLineChars="857"/>
        <w:jc w:val="distribute"/>
        <w:rPr>
          <w:rFonts w:eastAsia="楷体_GB2312"/>
          <w:bCs/>
          <w:sz w:val="28"/>
          <w:szCs w:val="28"/>
        </w:rPr>
      </w:pPr>
      <w:r>
        <w:rPr>
          <w:rFonts w:eastAsia="楷体_GB2312"/>
          <w:bCs/>
          <w:sz w:val="28"/>
          <w:szCs w:val="28"/>
        </w:rPr>
        <w:t>浙江省工信院之江产经智库</w:t>
      </w:r>
    </w:p>
    <w:p>
      <w:pPr>
        <w:pStyle w:val="12"/>
        <w:ind w:right="2010" w:rightChars="670" w:firstLine="2399" w:firstLineChars="857"/>
        <w:jc w:val="distribute"/>
        <w:rPr>
          <w:rFonts w:eastAsia="楷体_GB2312"/>
          <w:bCs/>
          <w:sz w:val="28"/>
          <w:szCs w:val="28"/>
        </w:rPr>
      </w:pPr>
      <w:r>
        <w:rPr>
          <w:rFonts w:eastAsia="楷体_GB2312"/>
          <w:bCs/>
          <w:sz w:val="28"/>
          <w:szCs w:val="28"/>
        </w:rPr>
        <w:t>浙江经济职业技术学院</w:t>
      </w:r>
    </w:p>
    <w:p>
      <w:pPr>
        <w:pStyle w:val="12"/>
        <w:ind w:right="2010" w:rightChars="670" w:firstLine="2399" w:firstLineChars="857"/>
        <w:jc w:val="distribute"/>
        <w:rPr>
          <w:rFonts w:eastAsia="楷体_GB2312"/>
          <w:bCs/>
          <w:sz w:val="28"/>
          <w:szCs w:val="28"/>
        </w:rPr>
      </w:pPr>
    </w:p>
    <w:p>
      <w:pPr>
        <w:pStyle w:val="12"/>
        <w:ind w:right="2010" w:rightChars="670" w:firstLine="2399" w:firstLineChars="857"/>
        <w:jc w:val="center"/>
        <w:rPr>
          <w:rFonts w:eastAsia="楷体_GB2312"/>
          <w:bCs/>
          <w:sz w:val="28"/>
          <w:szCs w:val="28"/>
        </w:rPr>
      </w:pPr>
      <w:r>
        <w:rPr>
          <w:rFonts w:eastAsia="楷体_GB2312"/>
          <w:bCs/>
          <w:sz w:val="28"/>
          <w:szCs w:val="28"/>
        </w:rPr>
        <w:t>2021年</w:t>
      </w:r>
      <w:r>
        <w:rPr>
          <w:rFonts w:hint="eastAsia" w:eastAsia="楷体_GB2312"/>
          <w:bCs/>
          <w:sz w:val="28"/>
          <w:szCs w:val="28"/>
          <w:lang w:val="en-US" w:eastAsia="zh-CN"/>
        </w:rPr>
        <w:t>5</w:t>
      </w:r>
      <w:r>
        <w:rPr>
          <w:rFonts w:eastAsia="楷体_GB2312"/>
          <w:bCs/>
          <w:sz w:val="28"/>
          <w:szCs w:val="28"/>
        </w:rPr>
        <w:t>月</w:t>
      </w:r>
    </w:p>
    <w:p>
      <w:pPr>
        <w:ind w:firstLine="643"/>
        <w:rPr>
          <w:rFonts w:ascii="黑体" w:eastAsia="黑体"/>
          <w:b/>
          <w:sz w:val="32"/>
          <w:szCs w:val="32"/>
        </w:rPr>
        <w:sectPr>
          <w:headerReference r:id="rId6" w:type="first"/>
          <w:footerReference r:id="rId9" w:type="first"/>
          <w:headerReference r:id="rId4" w:type="default"/>
          <w:footerReference r:id="rId7" w:type="default"/>
          <w:headerReference r:id="rId5" w:type="even"/>
          <w:footerReference r:id="rId8" w:type="even"/>
          <w:pgSz w:w="11906" w:h="16838"/>
          <w:pgMar w:top="1440" w:right="1797" w:bottom="1440" w:left="1797" w:header="851" w:footer="992" w:gutter="0"/>
          <w:pgNumType w:fmt="upperRoman" w:start="1"/>
          <w:cols w:space="425" w:num="1"/>
          <w:docGrid w:type="lines" w:linePitch="312" w:charSpace="0"/>
        </w:sectPr>
      </w:pPr>
    </w:p>
    <w:p>
      <w:pPr>
        <w:ind w:firstLine="0" w:firstLineChars="0"/>
        <w:jc w:val="center"/>
        <w:outlineLvl w:val="6"/>
        <w:rPr>
          <w:rFonts w:ascii="黑体" w:hAnsi="黑体" w:eastAsia="黑体" w:cs="黑体"/>
          <w:sz w:val="24"/>
          <w:szCs w:val="22"/>
        </w:rPr>
        <w:sectPr>
          <w:footerReference r:id="rId10" w:type="default"/>
          <w:pgSz w:w="11906" w:h="16838"/>
          <w:pgMar w:top="1440" w:right="1797" w:bottom="1440" w:left="1797" w:header="851" w:footer="992" w:gutter="0"/>
          <w:pgNumType w:fmt="upperRoman" w:start="1"/>
          <w:cols w:space="425" w:num="1"/>
          <w:docGrid w:type="lines" w:linePitch="312" w:charSpace="0"/>
        </w:sectPr>
      </w:pPr>
    </w:p>
    <w:sdt>
      <w:sdtPr>
        <w:rPr>
          <w:rFonts w:hint="eastAsia" w:ascii="黑体" w:hAnsi="黑体" w:eastAsia="黑体" w:cs="黑体"/>
          <w:sz w:val="36"/>
          <w:szCs w:val="36"/>
        </w:rPr>
        <w:id w:val="147478638"/>
        <w15:color w:val="DBDBDB"/>
      </w:sdtPr>
      <w:sdtEndPr>
        <w:rPr>
          <w:rFonts w:hint="eastAsia" w:ascii="Times New Roman" w:hAnsi="Times New Roman" w:eastAsia="仿宋_GB2312" w:cs="Times New Roman"/>
          <w:sz w:val="30"/>
          <w:szCs w:val="22"/>
        </w:rPr>
      </w:sdtEndPr>
      <w:sdtContent>
        <w:p>
          <w:pPr>
            <w:ind w:firstLine="0" w:firstLineChars="0"/>
            <w:jc w:val="center"/>
            <w:outlineLvl w:val="6"/>
            <w:rPr>
              <w:rFonts w:ascii="黑体" w:hAnsi="黑体" w:eastAsia="黑体" w:cs="黑体"/>
              <w:sz w:val="36"/>
              <w:szCs w:val="36"/>
            </w:rPr>
          </w:pPr>
          <w:r>
            <w:rPr>
              <w:rFonts w:hint="eastAsia" w:ascii="黑体" w:hAnsi="黑体" w:eastAsia="黑体" w:cs="黑体"/>
              <w:sz w:val="36"/>
              <w:szCs w:val="36"/>
            </w:rPr>
            <w:t xml:space="preserve">目  </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 xml:space="preserve"> 录</w:t>
          </w:r>
        </w:p>
        <w:p>
          <w:pPr>
            <w:pStyle w:val="12"/>
            <w:ind w:firstLine="600"/>
          </w:pPr>
        </w:p>
        <w:p>
          <w:pPr>
            <w:pStyle w:val="16"/>
            <w:tabs>
              <w:tab w:val="right" w:leader="dot" w:pos="8312"/>
            </w:tabs>
          </w:pPr>
          <w:r>
            <w:rPr>
              <w:sz w:val="28"/>
              <w:szCs w:val="28"/>
            </w:rPr>
            <w:fldChar w:fldCharType="begin"/>
          </w:r>
          <w:r>
            <w:rPr>
              <w:sz w:val="28"/>
              <w:szCs w:val="28"/>
            </w:rPr>
            <w:instrText xml:space="preserve">TOC \o "1-2" \h \u </w:instrText>
          </w:r>
          <w:r>
            <w:rPr>
              <w:sz w:val="28"/>
              <w:szCs w:val="28"/>
            </w:rPr>
            <w:fldChar w:fldCharType="separate"/>
          </w:r>
          <w:r>
            <w:rPr>
              <w:szCs w:val="28"/>
            </w:rPr>
            <w:fldChar w:fldCharType="begin"/>
          </w:r>
          <w:r>
            <w:rPr>
              <w:szCs w:val="28"/>
            </w:rPr>
            <w:instrText xml:space="preserve"> HYPERLINK \l _Toc18136 </w:instrText>
          </w:r>
          <w:r>
            <w:rPr>
              <w:szCs w:val="28"/>
            </w:rPr>
            <w:fldChar w:fldCharType="separate"/>
          </w:r>
          <w:r>
            <w:rPr>
              <w:rFonts w:hint="eastAsia"/>
              <w:szCs w:val="32"/>
            </w:rPr>
            <w:t>一、发展基础</w:t>
          </w:r>
          <w:r>
            <w:tab/>
          </w:r>
          <w:r>
            <w:fldChar w:fldCharType="begin"/>
          </w:r>
          <w:r>
            <w:instrText xml:space="preserve"> PAGEREF _Toc18136 \h </w:instrText>
          </w:r>
          <w:r>
            <w:fldChar w:fldCharType="separate"/>
          </w:r>
          <w:r>
            <w:t>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_Toc25763 </w:instrText>
          </w:r>
          <w:r>
            <w:rPr>
              <w:szCs w:val="28"/>
            </w:rPr>
            <w:fldChar w:fldCharType="separate"/>
          </w:r>
          <w:r>
            <w:rPr>
              <w:rFonts w:hint="eastAsia" w:ascii="楷体_GB2312" w:eastAsia="楷体_GB2312"/>
            </w:rPr>
            <w:t>（一）</w:t>
          </w:r>
          <w:r>
            <w:rPr>
              <w:rFonts w:hint="eastAsia" w:ascii="楷体_GB2312" w:eastAsia="楷体_GB2312"/>
              <w:lang w:eastAsia="zh-CN"/>
            </w:rPr>
            <w:t>“</w:t>
          </w:r>
          <w:r>
            <w:rPr>
              <w:rFonts w:hint="eastAsia" w:ascii="楷体_GB2312" w:eastAsia="楷体_GB2312"/>
              <w:lang w:val="en-US" w:eastAsia="zh-CN"/>
            </w:rPr>
            <w:t>十三五</w:t>
          </w:r>
          <w:r>
            <w:rPr>
              <w:rFonts w:hint="eastAsia" w:ascii="楷体_GB2312" w:eastAsia="楷体_GB2312"/>
              <w:lang w:eastAsia="zh-CN"/>
            </w:rPr>
            <w:t>”</w:t>
          </w:r>
          <w:r>
            <w:rPr>
              <w:rFonts w:hint="eastAsia" w:ascii="楷体_GB2312" w:eastAsia="楷体_GB2312"/>
              <w:lang w:val="en-US" w:eastAsia="zh-CN"/>
            </w:rPr>
            <w:t>发展成果</w:t>
          </w:r>
          <w:r>
            <w:tab/>
          </w:r>
          <w:r>
            <w:fldChar w:fldCharType="begin"/>
          </w:r>
          <w:r>
            <w:instrText xml:space="preserve"> PAGEREF _Toc25763 \h </w:instrText>
          </w:r>
          <w:r>
            <w:fldChar w:fldCharType="separate"/>
          </w:r>
          <w:r>
            <w:t>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_Toc7917 </w:instrText>
          </w:r>
          <w:r>
            <w:rPr>
              <w:szCs w:val="28"/>
            </w:rPr>
            <w:fldChar w:fldCharType="separate"/>
          </w:r>
          <w:r>
            <w:rPr>
              <w:rFonts w:hint="eastAsia" w:ascii="楷体_GB2312" w:eastAsia="楷体_GB2312"/>
            </w:rPr>
            <w:t>（二）</w:t>
          </w:r>
          <w:r>
            <w:rPr>
              <w:rFonts w:hint="eastAsia" w:ascii="楷体_GB2312" w:eastAsia="楷体_GB2312"/>
              <w:lang w:eastAsia="zh-CN"/>
            </w:rPr>
            <w:t>“</w:t>
          </w:r>
          <w:r>
            <w:rPr>
              <w:rFonts w:hint="eastAsia" w:ascii="楷体_GB2312" w:eastAsia="楷体_GB2312"/>
              <w:lang w:val="en-US" w:eastAsia="zh-CN"/>
            </w:rPr>
            <w:t>十四五</w:t>
          </w:r>
          <w:r>
            <w:rPr>
              <w:rFonts w:hint="eastAsia" w:ascii="楷体_GB2312" w:eastAsia="楷体_GB2312"/>
              <w:lang w:eastAsia="zh-CN"/>
            </w:rPr>
            <w:t>”</w:t>
          </w:r>
          <w:r>
            <w:rPr>
              <w:rFonts w:hint="eastAsia" w:ascii="楷体_GB2312" w:eastAsia="楷体_GB2312"/>
              <w:lang w:val="en-US" w:eastAsia="zh-CN"/>
            </w:rPr>
            <w:t>问题挑战</w:t>
          </w:r>
          <w:r>
            <w:tab/>
          </w:r>
          <w:r>
            <w:fldChar w:fldCharType="begin"/>
          </w:r>
          <w:r>
            <w:instrText xml:space="preserve"> PAGEREF _Toc7917 \h </w:instrText>
          </w:r>
          <w:r>
            <w:fldChar w:fldCharType="separate"/>
          </w:r>
          <w:r>
            <w:t>7</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_Toc31227 </w:instrText>
          </w:r>
          <w:r>
            <w:rPr>
              <w:szCs w:val="28"/>
            </w:rPr>
            <w:fldChar w:fldCharType="separate"/>
          </w:r>
          <w:r>
            <w:rPr>
              <w:rFonts w:hint="eastAsia"/>
              <w:szCs w:val="32"/>
            </w:rPr>
            <w:t>二、总体思路</w:t>
          </w:r>
          <w:r>
            <w:tab/>
          </w:r>
          <w:r>
            <w:fldChar w:fldCharType="begin"/>
          </w:r>
          <w:r>
            <w:instrText xml:space="preserve"> PAGEREF _Toc31227 \h </w:instrText>
          </w:r>
          <w:r>
            <w:fldChar w:fldCharType="separate"/>
          </w:r>
          <w:r>
            <w:t>11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_Toc15425 </w:instrText>
          </w:r>
          <w:r>
            <w:rPr>
              <w:szCs w:val="28"/>
            </w:rPr>
            <w:fldChar w:fldCharType="separate"/>
          </w:r>
          <w:r>
            <w:rPr>
              <w:rFonts w:hint="eastAsia" w:ascii="楷体_GB2312" w:eastAsia="楷体_GB2312"/>
            </w:rPr>
            <w:t>（一）指导思想</w:t>
          </w:r>
          <w:r>
            <w:tab/>
          </w:r>
          <w:r>
            <w:fldChar w:fldCharType="begin"/>
          </w:r>
          <w:r>
            <w:instrText xml:space="preserve"> PAGEREF _Toc15425 \h </w:instrText>
          </w:r>
          <w:r>
            <w:fldChar w:fldCharType="separate"/>
          </w:r>
          <w:r>
            <w:t>11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_Toc26509 </w:instrText>
          </w:r>
          <w:r>
            <w:rPr>
              <w:szCs w:val="28"/>
            </w:rPr>
            <w:fldChar w:fldCharType="separate"/>
          </w:r>
          <w:r>
            <w:rPr>
              <w:rFonts w:hint="eastAsia" w:ascii="楷体_GB2312" w:eastAsia="楷体_GB2312"/>
              <w:lang w:eastAsia="zh-CN"/>
            </w:rPr>
            <w:t>（</w:t>
          </w:r>
          <w:r>
            <w:rPr>
              <w:rFonts w:hint="eastAsia" w:ascii="楷体_GB2312" w:eastAsia="楷体_GB2312"/>
              <w:lang w:val="en-US" w:eastAsia="zh-CN"/>
            </w:rPr>
            <w:t>二</w:t>
          </w:r>
          <w:r>
            <w:rPr>
              <w:rFonts w:hint="eastAsia" w:ascii="楷体_GB2312" w:eastAsia="楷体_GB2312"/>
              <w:lang w:eastAsia="zh-CN"/>
            </w:rPr>
            <w:t>）</w:t>
          </w:r>
          <w:r>
            <w:rPr>
              <w:rFonts w:hint="eastAsia" w:ascii="楷体_GB2312" w:eastAsia="楷体_GB2312"/>
            </w:rPr>
            <w:t>基本原则</w:t>
          </w:r>
          <w:r>
            <w:tab/>
          </w:r>
          <w:r>
            <w:fldChar w:fldCharType="begin"/>
          </w:r>
          <w:r>
            <w:instrText xml:space="preserve"> PAGEREF _Toc26509 \h </w:instrText>
          </w:r>
          <w:r>
            <w:fldChar w:fldCharType="separate"/>
          </w:r>
          <w:r>
            <w:t>12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_Toc2556 </w:instrText>
          </w:r>
          <w:r>
            <w:rPr>
              <w:szCs w:val="28"/>
            </w:rPr>
            <w:fldChar w:fldCharType="separate"/>
          </w:r>
          <w:r>
            <w:rPr>
              <w:rFonts w:hint="eastAsia" w:ascii="楷体_GB2312" w:eastAsia="楷体_GB2312"/>
            </w:rPr>
            <w:t>（</w:t>
          </w:r>
          <w:r>
            <w:rPr>
              <w:rFonts w:hint="eastAsia" w:ascii="楷体_GB2312" w:eastAsia="楷体_GB2312"/>
              <w:lang w:val="en-US" w:eastAsia="zh-CN"/>
            </w:rPr>
            <w:t>三</w:t>
          </w:r>
          <w:r>
            <w:rPr>
              <w:rFonts w:hint="eastAsia" w:ascii="楷体_GB2312" w:eastAsia="楷体_GB2312"/>
            </w:rPr>
            <w:t>）</w:t>
          </w:r>
          <w:r>
            <w:rPr>
              <w:rFonts w:hint="eastAsia" w:ascii="楷体_GB2312" w:eastAsia="楷体_GB2312"/>
              <w:lang w:val="en-US" w:eastAsia="zh-CN"/>
            </w:rPr>
            <w:t>战略定位</w:t>
          </w:r>
          <w:r>
            <w:tab/>
          </w:r>
          <w:r>
            <w:fldChar w:fldCharType="begin"/>
          </w:r>
          <w:r>
            <w:instrText xml:space="preserve"> PAGEREF _Toc2556 \h </w:instrText>
          </w:r>
          <w:r>
            <w:fldChar w:fldCharType="separate"/>
          </w:r>
          <w:r>
            <w:t>13</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_Toc1446 </w:instrText>
          </w:r>
          <w:r>
            <w:rPr>
              <w:szCs w:val="28"/>
            </w:rPr>
            <w:fldChar w:fldCharType="separate"/>
          </w:r>
          <w:r>
            <w:rPr>
              <w:rFonts w:hint="eastAsia" w:ascii="楷体_GB2312" w:eastAsia="楷体_GB2312"/>
            </w:rPr>
            <w:t>（</w:t>
          </w:r>
          <w:r>
            <w:rPr>
              <w:rFonts w:hint="eastAsia" w:ascii="楷体_GB2312" w:eastAsia="楷体_GB2312"/>
              <w:lang w:val="en-US" w:eastAsia="zh-CN"/>
            </w:rPr>
            <w:t>四</w:t>
          </w:r>
          <w:r>
            <w:rPr>
              <w:rFonts w:hint="eastAsia" w:ascii="楷体_GB2312" w:eastAsia="楷体_GB2312"/>
            </w:rPr>
            <w:t>）发展目标</w:t>
          </w:r>
          <w:r>
            <w:tab/>
          </w:r>
          <w:r>
            <w:fldChar w:fldCharType="begin"/>
          </w:r>
          <w:r>
            <w:instrText xml:space="preserve"> PAGEREF _Toc1446 \h </w:instrText>
          </w:r>
          <w:r>
            <w:fldChar w:fldCharType="separate"/>
          </w:r>
          <w:r>
            <w:t>13</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_Toc14838 </w:instrText>
          </w:r>
          <w:r>
            <w:rPr>
              <w:szCs w:val="28"/>
            </w:rPr>
            <w:fldChar w:fldCharType="separate"/>
          </w:r>
          <w:r>
            <w:rPr>
              <w:rFonts w:hint="eastAsia"/>
              <w:szCs w:val="32"/>
            </w:rPr>
            <w:t>三、发展重点</w:t>
          </w:r>
          <w:r>
            <w:tab/>
          </w:r>
          <w:r>
            <w:fldChar w:fldCharType="begin"/>
          </w:r>
          <w:r>
            <w:instrText xml:space="preserve"> PAGEREF _Toc14838 \h </w:instrText>
          </w:r>
          <w:r>
            <w:fldChar w:fldCharType="separate"/>
          </w:r>
          <w:r>
            <w:t>18</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_Toc30352 </w:instrText>
          </w:r>
          <w:r>
            <w:rPr>
              <w:szCs w:val="28"/>
            </w:rPr>
            <w:fldChar w:fldCharType="separate"/>
          </w:r>
          <w:r>
            <w:rPr>
              <w:rFonts w:hint="eastAsia" w:ascii="楷体_GB2312" w:eastAsia="楷体_GB2312"/>
            </w:rPr>
            <w:t>（一）高端不锈钢（精密制造）产业</w:t>
          </w:r>
          <w:r>
            <w:tab/>
          </w:r>
          <w:r>
            <w:fldChar w:fldCharType="begin"/>
          </w:r>
          <w:r>
            <w:instrText xml:space="preserve"> PAGEREF _Toc30352 \h </w:instrText>
          </w:r>
          <w:r>
            <w:fldChar w:fldCharType="separate"/>
          </w:r>
          <w:r>
            <w:t>18</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_Toc1496 </w:instrText>
          </w:r>
          <w:r>
            <w:rPr>
              <w:szCs w:val="28"/>
            </w:rPr>
            <w:fldChar w:fldCharType="separate"/>
          </w:r>
          <w:r>
            <w:rPr>
              <w:rFonts w:hint="eastAsia" w:ascii="楷体_GB2312" w:eastAsia="楷体_GB2312"/>
            </w:rPr>
            <w:t>（</w:t>
          </w:r>
          <w:r>
            <w:rPr>
              <w:rFonts w:hint="eastAsia" w:ascii="楷体_GB2312" w:eastAsia="楷体_GB2312"/>
              <w:lang w:val="en-US" w:eastAsia="zh-CN"/>
            </w:rPr>
            <w:t>二</w:t>
          </w:r>
          <w:r>
            <w:rPr>
              <w:rFonts w:hint="eastAsia" w:ascii="楷体_GB2312" w:eastAsia="楷体_GB2312"/>
            </w:rPr>
            <w:t>）时尚（鞋服）产业</w:t>
          </w:r>
          <w:r>
            <w:tab/>
          </w:r>
          <w:r>
            <w:fldChar w:fldCharType="begin"/>
          </w:r>
          <w:r>
            <w:instrText xml:space="preserve"> PAGEREF _Toc1496 \h </w:instrText>
          </w:r>
          <w:r>
            <w:fldChar w:fldCharType="separate"/>
          </w:r>
          <w:r>
            <w:t>21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_Toc21421 </w:instrText>
          </w:r>
          <w:r>
            <w:rPr>
              <w:szCs w:val="28"/>
            </w:rPr>
            <w:fldChar w:fldCharType="separate"/>
          </w:r>
          <w:r>
            <w:rPr>
              <w:rFonts w:hint="eastAsia" w:ascii="楷体_GB2312" w:eastAsia="楷体_GB2312"/>
            </w:rPr>
            <w:t>（二）智控阀门（高端装备）产业</w:t>
          </w:r>
          <w:r>
            <w:tab/>
          </w:r>
          <w:r>
            <w:fldChar w:fldCharType="begin"/>
          </w:r>
          <w:r>
            <w:instrText xml:space="preserve"> PAGEREF _Toc21421 \h </w:instrText>
          </w:r>
          <w:r>
            <w:fldChar w:fldCharType="separate"/>
          </w:r>
          <w:r>
            <w:t>24</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_Toc22098 </w:instrText>
          </w:r>
          <w:r>
            <w:rPr>
              <w:szCs w:val="28"/>
            </w:rPr>
            <w:fldChar w:fldCharType="separate"/>
          </w:r>
          <w:r>
            <w:rPr>
              <w:rFonts w:hint="eastAsia" w:ascii="楷体_GB2312" w:eastAsia="楷体_GB2312"/>
            </w:rPr>
            <w:t>（四）绿色石矿产业</w:t>
          </w:r>
          <w:r>
            <w:tab/>
          </w:r>
          <w:r>
            <w:fldChar w:fldCharType="begin"/>
          </w:r>
          <w:r>
            <w:instrText xml:space="preserve"> PAGEREF _Toc22098 \h </w:instrText>
          </w:r>
          <w:r>
            <w:fldChar w:fldCharType="separate"/>
          </w:r>
          <w:r>
            <w:t>26</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_Toc11362 </w:instrText>
          </w:r>
          <w:r>
            <w:rPr>
              <w:szCs w:val="28"/>
            </w:rPr>
            <w:fldChar w:fldCharType="separate"/>
          </w:r>
          <w:r>
            <w:rPr>
              <w:rFonts w:hint="eastAsia" w:ascii="楷体_GB2312" w:eastAsia="楷体_GB2312"/>
            </w:rPr>
            <w:t>（五）新兴产业（绿色新能源）</w:t>
          </w:r>
          <w:r>
            <w:tab/>
          </w:r>
          <w:r>
            <w:fldChar w:fldCharType="begin"/>
          </w:r>
          <w:r>
            <w:instrText xml:space="preserve"> PAGEREF _Toc11362 \h </w:instrText>
          </w:r>
          <w:r>
            <w:fldChar w:fldCharType="separate"/>
          </w:r>
          <w:r>
            <w:t>28</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_Toc26854 </w:instrText>
          </w:r>
          <w:r>
            <w:rPr>
              <w:szCs w:val="28"/>
            </w:rPr>
            <w:fldChar w:fldCharType="separate"/>
          </w:r>
          <w:r>
            <w:rPr>
              <w:rFonts w:hint="eastAsia" w:ascii="楷体_GB2312" w:eastAsia="楷体_GB2312"/>
            </w:rPr>
            <w:t>（六）数字经济</w:t>
          </w:r>
          <w:r>
            <w:tab/>
          </w:r>
          <w:r>
            <w:fldChar w:fldCharType="begin"/>
          </w:r>
          <w:r>
            <w:instrText xml:space="preserve"> PAGEREF _Toc26854 \h </w:instrText>
          </w:r>
          <w:r>
            <w:fldChar w:fldCharType="separate"/>
          </w:r>
          <w:r>
            <w:t>31</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_Toc11565 </w:instrText>
          </w:r>
          <w:r>
            <w:rPr>
              <w:szCs w:val="28"/>
            </w:rPr>
            <w:fldChar w:fldCharType="separate"/>
          </w:r>
          <w:r>
            <w:rPr>
              <w:rFonts w:hint="eastAsia" w:ascii="楷体_GB2312" w:hAnsi="等线 Light" w:eastAsia="楷体_GB2312"/>
              <w:bCs/>
            </w:rPr>
            <w:t>（七）现代服务业</w:t>
          </w:r>
          <w:r>
            <w:tab/>
          </w:r>
          <w:r>
            <w:fldChar w:fldCharType="begin"/>
          </w:r>
          <w:r>
            <w:instrText xml:space="preserve"> PAGEREF _Toc11565 \h </w:instrText>
          </w:r>
          <w:r>
            <w:fldChar w:fldCharType="separate"/>
          </w:r>
          <w:r>
            <w:t>32</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_Toc4372 </w:instrText>
          </w:r>
          <w:r>
            <w:rPr>
              <w:szCs w:val="28"/>
            </w:rPr>
            <w:fldChar w:fldCharType="separate"/>
          </w:r>
          <w:r>
            <w:rPr>
              <w:rFonts w:hint="eastAsia"/>
              <w:szCs w:val="32"/>
            </w:rPr>
            <w:t>四、空间布局</w:t>
          </w:r>
          <w:r>
            <w:tab/>
          </w:r>
          <w:r>
            <w:fldChar w:fldCharType="begin"/>
          </w:r>
          <w:r>
            <w:instrText xml:space="preserve"> PAGEREF _Toc4372 \h </w:instrText>
          </w:r>
          <w:r>
            <w:fldChar w:fldCharType="separate"/>
          </w:r>
          <w:r>
            <w:t>36</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_Toc14494 </w:instrText>
          </w:r>
          <w:r>
            <w:rPr>
              <w:szCs w:val="28"/>
            </w:rPr>
            <w:fldChar w:fldCharType="separate"/>
          </w:r>
          <w:r>
            <w:rPr>
              <w:rFonts w:hint="eastAsia" w:ascii="楷体_GB2312" w:eastAsia="楷体_GB2312"/>
            </w:rPr>
            <w:t>（一）“万亩千亿”平台建设目标</w:t>
          </w:r>
          <w:r>
            <w:tab/>
          </w:r>
          <w:r>
            <w:fldChar w:fldCharType="begin"/>
          </w:r>
          <w:r>
            <w:instrText xml:space="preserve"> PAGEREF _Toc14494 \h </w:instrText>
          </w:r>
          <w:r>
            <w:fldChar w:fldCharType="separate"/>
          </w:r>
          <w:r>
            <w:t>36</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_Toc22513 </w:instrText>
          </w:r>
          <w:r>
            <w:rPr>
              <w:szCs w:val="28"/>
            </w:rPr>
            <w:fldChar w:fldCharType="separate"/>
          </w:r>
          <w:r>
            <w:rPr>
              <w:rFonts w:hint="eastAsia" w:ascii="楷体_GB2312" w:eastAsia="楷体_GB2312"/>
            </w:rPr>
            <w:t>（二）空间布局</w:t>
          </w:r>
          <w:r>
            <w:tab/>
          </w:r>
          <w:r>
            <w:fldChar w:fldCharType="begin"/>
          </w:r>
          <w:r>
            <w:instrText xml:space="preserve"> PAGEREF _Toc22513 \h </w:instrText>
          </w:r>
          <w:r>
            <w:fldChar w:fldCharType="separate"/>
          </w:r>
          <w:r>
            <w:t>36</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_Toc18712 </w:instrText>
          </w:r>
          <w:r>
            <w:rPr>
              <w:szCs w:val="28"/>
            </w:rPr>
            <w:fldChar w:fldCharType="separate"/>
          </w:r>
          <w:r>
            <w:rPr>
              <w:rFonts w:hint="eastAsia" w:ascii="楷体_GB2312" w:eastAsia="楷体_GB2312"/>
            </w:rPr>
            <w:t>（三）实施路径</w:t>
          </w:r>
          <w:r>
            <w:tab/>
          </w:r>
          <w:r>
            <w:fldChar w:fldCharType="begin"/>
          </w:r>
          <w:r>
            <w:instrText xml:space="preserve"> PAGEREF _Toc18712 \h </w:instrText>
          </w:r>
          <w:r>
            <w:fldChar w:fldCharType="separate"/>
          </w:r>
          <w:r>
            <w:t>42</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_Toc5485 </w:instrText>
          </w:r>
          <w:r>
            <w:rPr>
              <w:szCs w:val="28"/>
            </w:rPr>
            <w:fldChar w:fldCharType="separate"/>
          </w:r>
          <w:r>
            <w:rPr>
              <w:rFonts w:hint="eastAsia" w:ascii="黑体" w:hAnsi="黑体"/>
              <w:szCs w:val="32"/>
            </w:rPr>
            <w:t>五、重点任务</w:t>
          </w:r>
          <w:r>
            <w:tab/>
          </w:r>
          <w:r>
            <w:fldChar w:fldCharType="begin"/>
          </w:r>
          <w:r>
            <w:instrText xml:space="preserve"> PAGEREF _Toc5485 \h </w:instrText>
          </w:r>
          <w:r>
            <w:fldChar w:fldCharType="separate"/>
          </w:r>
          <w:r>
            <w:t>45</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_Toc27004 </w:instrText>
          </w:r>
          <w:r>
            <w:rPr>
              <w:szCs w:val="28"/>
            </w:rPr>
            <w:fldChar w:fldCharType="separate"/>
          </w:r>
          <w:r>
            <w:rPr>
              <w:rFonts w:hint="eastAsia" w:ascii="楷体_GB2312" w:eastAsia="楷体_GB2312"/>
            </w:rPr>
            <w:t>（一）精准招</w:t>
          </w:r>
          <w:r>
            <w:rPr>
              <w:rFonts w:hint="eastAsia" w:ascii="楷体_GB2312" w:eastAsia="楷体_GB2312"/>
              <w:lang w:val="en-US" w:eastAsia="zh-CN"/>
            </w:rPr>
            <w:t>引</w:t>
          </w:r>
          <w:r>
            <w:rPr>
              <w:rFonts w:hint="eastAsia" w:ascii="楷体_GB2312" w:eastAsia="楷体_GB2312"/>
            </w:rPr>
            <w:t>工程</w:t>
          </w:r>
          <w:r>
            <w:tab/>
          </w:r>
          <w:r>
            <w:fldChar w:fldCharType="begin"/>
          </w:r>
          <w:r>
            <w:instrText xml:space="preserve"> PAGEREF _Toc27004 \h </w:instrText>
          </w:r>
          <w:r>
            <w:fldChar w:fldCharType="separate"/>
          </w:r>
          <w:r>
            <w:t>45</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_Toc14551 </w:instrText>
          </w:r>
          <w:r>
            <w:rPr>
              <w:szCs w:val="28"/>
            </w:rPr>
            <w:fldChar w:fldCharType="separate"/>
          </w:r>
          <w:r>
            <w:rPr>
              <w:rFonts w:hint="eastAsia" w:ascii="楷体_GB2312" w:eastAsia="楷体_GB2312"/>
            </w:rPr>
            <w:t>（二）项目投资工程</w:t>
          </w:r>
          <w:r>
            <w:tab/>
          </w:r>
          <w:r>
            <w:fldChar w:fldCharType="begin"/>
          </w:r>
          <w:r>
            <w:instrText xml:space="preserve"> PAGEREF _Toc14551 \h </w:instrText>
          </w:r>
          <w:r>
            <w:fldChar w:fldCharType="separate"/>
          </w:r>
          <w:r>
            <w:t>52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_Toc17443 </w:instrText>
          </w:r>
          <w:r>
            <w:rPr>
              <w:szCs w:val="28"/>
            </w:rPr>
            <w:fldChar w:fldCharType="separate"/>
          </w:r>
          <w:r>
            <w:rPr>
              <w:rFonts w:hint="eastAsia" w:ascii="楷体_GB2312" w:eastAsia="楷体_GB2312"/>
            </w:rPr>
            <w:t>（三）企业培育工程</w:t>
          </w:r>
          <w:r>
            <w:tab/>
          </w:r>
          <w:r>
            <w:fldChar w:fldCharType="begin"/>
          </w:r>
          <w:r>
            <w:instrText xml:space="preserve"> PAGEREF _Toc17443 \h </w:instrText>
          </w:r>
          <w:r>
            <w:fldChar w:fldCharType="separate"/>
          </w:r>
          <w:r>
            <w:t>54</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_Toc25176 </w:instrText>
          </w:r>
          <w:r>
            <w:rPr>
              <w:szCs w:val="28"/>
            </w:rPr>
            <w:fldChar w:fldCharType="separate"/>
          </w:r>
          <w:r>
            <w:rPr>
              <w:rFonts w:hint="eastAsia" w:ascii="楷体_GB2312" w:eastAsia="楷体_GB2312"/>
            </w:rPr>
            <w:t>（四）创新引领工程</w:t>
          </w:r>
          <w:r>
            <w:tab/>
          </w:r>
          <w:r>
            <w:fldChar w:fldCharType="begin"/>
          </w:r>
          <w:r>
            <w:instrText xml:space="preserve"> PAGEREF _Toc25176 \h </w:instrText>
          </w:r>
          <w:r>
            <w:fldChar w:fldCharType="separate"/>
          </w:r>
          <w:r>
            <w:t>56</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_Toc735 </w:instrText>
          </w:r>
          <w:r>
            <w:rPr>
              <w:szCs w:val="28"/>
            </w:rPr>
            <w:fldChar w:fldCharType="separate"/>
          </w:r>
          <w:r>
            <w:rPr>
              <w:rFonts w:hint="eastAsia" w:ascii="楷体_GB2312" w:eastAsia="楷体_GB2312"/>
            </w:rPr>
            <w:t>（</w:t>
          </w:r>
          <w:r>
            <w:rPr>
              <w:rFonts w:hint="eastAsia" w:ascii="楷体_GB2312" w:eastAsia="楷体_GB2312"/>
              <w:lang w:val="en-US" w:eastAsia="zh-CN"/>
            </w:rPr>
            <w:t>五</w:t>
          </w:r>
          <w:r>
            <w:rPr>
              <w:rFonts w:hint="eastAsia" w:ascii="楷体_GB2312" w:eastAsia="楷体_GB2312"/>
            </w:rPr>
            <w:t>）</w:t>
          </w:r>
          <w:r>
            <w:rPr>
              <w:rFonts w:hint="eastAsia" w:ascii="楷体_GB2312" w:eastAsia="楷体_GB2312"/>
              <w:lang w:val="en-US" w:eastAsia="zh-CN"/>
            </w:rPr>
            <w:t>绿色低碳</w:t>
          </w:r>
          <w:r>
            <w:rPr>
              <w:rFonts w:hint="eastAsia" w:ascii="楷体_GB2312" w:eastAsia="楷体_GB2312"/>
            </w:rPr>
            <w:t>工程</w:t>
          </w:r>
          <w:r>
            <w:tab/>
          </w:r>
          <w:r>
            <w:fldChar w:fldCharType="begin"/>
          </w:r>
          <w:r>
            <w:instrText xml:space="preserve"> PAGEREF _Toc735 \h </w:instrText>
          </w:r>
          <w:r>
            <w:fldChar w:fldCharType="separate"/>
          </w:r>
          <w:r>
            <w:t>59</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_Toc15746 </w:instrText>
          </w:r>
          <w:r>
            <w:rPr>
              <w:szCs w:val="28"/>
            </w:rPr>
            <w:fldChar w:fldCharType="separate"/>
          </w:r>
          <w:r>
            <w:rPr>
              <w:rFonts w:hint="eastAsia"/>
              <w:szCs w:val="32"/>
            </w:rPr>
            <w:t>六、重点举措</w:t>
          </w:r>
          <w:r>
            <w:tab/>
          </w:r>
          <w:r>
            <w:fldChar w:fldCharType="begin"/>
          </w:r>
          <w:r>
            <w:instrText xml:space="preserve"> PAGEREF _Toc15746 \h </w:instrText>
          </w:r>
          <w:r>
            <w:fldChar w:fldCharType="separate"/>
          </w:r>
          <w:r>
            <w:t>62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_Toc20447 </w:instrText>
          </w:r>
          <w:r>
            <w:rPr>
              <w:szCs w:val="28"/>
            </w:rPr>
            <w:fldChar w:fldCharType="separate"/>
          </w:r>
          <w:r>
            <w:rPr>
              <w:rFonts w:hint="eastAsia" w:ascii="楷体_GB2312" w:eastAsia="楷体_GB2312"/>
            </w:rPr>
            <w:t>（一）深化治理方式创新</w:t>
          </w:r>
          <w:r>
            <w:tab/>
          </w:r>
          <w:r>
            <w:fldChar w:fldCharType="begin"/>
          </w:r>
          <w:r>
            <w:instrText xml:space="preserve"> PAGEREF _Toc20447 \h </w:instrText>
          </w:r>
          <w:r>
            <w:fldChar w:fldCharType="separate"/>
          </w:r>
          <w:r>
            <w:t>62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_Toc19754 </w:instrText>
          </w:r>
          <w:r>
            <w:rPr>
              <w:szCs w:val="28"/>
            </w:rPr>
            <w:fldChar w:fldCharType="separate"/>
          </w:r>
          <w:r>
            <w:rPr>
              <w:rFonts w:hint="eastAsia" w:ascii="楷体_GB2312" w:eastAsia="楷体_GB2312"/>
            </w:rPr>
            <w:t>（二）实施精准有力财政政策</w:t>
          </w:r>
          <w:r>
            <w:tab/>
          </w:r>
          <w:r>
            <w:fldChar w:fldCharType="begin"/>
          </w:r>
          <w:r>
            <w:instrText xml:space="preserve"> PAGEREF _Toc19754 \h </w:instrText>
          </w:r>
          <w:r>
            <w:fldChar w:fldCharType="separate"/>
          </w:r>
          <w:r>
            <w:t>62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_Toc1686 </w:instrText>
          </w:r>
          <w:r>
            <w:rPr>
              <w:szCs w:val="28"/>
            </w:rPr>
            <w:fldChar w:fldCharType="separate"/>
          </w:r>
          <w:r>
            <w:rPr>
              <w:rFonts w:hint="eastAsia" w:ascii="楷体_GB2312" w:eastAsia="楷体_GB2312"/>
            </w:rPr>
            <w:t>（三）加大金融支持力度</w:t>
          </w:r>
          <w:r>
            <w:tab/>
          </w:r>
          <w:r>
            <w:fldChar w:fldCharType="begin"/>
          </w:r>
          <w:r>
            <w:instrText xml:space="preserve"> PAGEREF _Toc1686 \h </w:instrText>
          </w:r>
          <w:r>
            <w:fldChar w:fldCharType="separate"/>
          </w:r>
          <w:r>
            <w:t>62</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_Toc6938 </w:instrText>
          </w:r>
          <w:r>
            <w:rPr>
              <w:szCs w:val="28"/>
            </w:rPr>
            <w:fldChar w:fldCharType="separate"/>
          </w:r>
          <w:r>
            <w:rPr>
              <w:rFonts w:hint="eastAsia" w:ascii="楷体_GB2312" w:eastAsia="楷体_GB2312"/>
            </w:rPr>
            <w:t>（四）强化土地要素保障</w:t>
          </w:r>
          <w:r>
            <w:tab/>
          </w:r>
          <w:r>
            <w:fldChar w:fldCharType="begin"/>
          </w:r>
          <w:r>
            <w:instrText xml:space="preserve"> PAGEREF _Toc6938 \h </w:instrText>
          </w:r>
          <w:r>
            <w:fldChar w:fldCharType="separate"/>
          </w:r>
          <w:r>
            <w:t>63</w:t>
          </w:r>
          <w:r>
            <w:fldChar w:fldCharType="end"/>
          </w:r>
          <w:r>
            <w:rPr>
              <w:szCs w:val="28"/>
            </w:rPr>
            <w:fldChar w:fldCharType="end"/>
          </w:r>
        </w:p>
        <w:p>
          <w:pPr>
            <w:pStyle w:val="18"/>
            <w:tabs>
              <w:tab w:val="right" w:leader="dot" w:pos="8312"/>
            </w:tabs>
          </w:pPr>
          <w:r>
            <w:rPr>
              <w:szCs w:val="28"/>
            </w:rPr>
            <w:fldChar w:fldCharType="begin"/>
          </w:r>
          <w:r>
            <w:rPr>
              <w:szCs w:val="28"/>
            </w:rPr>
            <w:instrText xml:space="preserve"> HYPERLINK \l _Toc23845 </w:instrText>
          </w:r>
          <w:r>
            <w:rPr>
              <w:szCs w:val="28"/>
            </w:rPr>
            <w:fldChar w:fldCharType="separate"/>
          </w:r>
          <w:r>
            <w:rPr>
              <w:rFonts w:hint="eastAsia" w:ascii="楷体_GB2312" w:eastAsia="楷体_GB2312"/>
            </w:rPr>
            <w:t>（五）健全产业人才体系</w:t>
          </w:r>
          <w:r>
            <w:tab/>
          </w:r>
          <w:r>
            <w:fldChar w:fldCharType="begin"/>
          </w:r>
          <w:r>
            <w:instrText xml:space="preserve"> PAGEREF _Toc23845 \h </w:instrText>
          </w:r>
          <w:r>
            <w:fldChar w:fldCharType="separate"/>
          </w:r>
          <w:r>
            <w:t>63</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_Toc4714 </w:instrText>
          </w:r>
          <w:r>
            <w:rPr>
              <w:szCs w:val="28"/>
            </w:rPr>
            <w:fldChar w:fldCharType="separate"/>
          </w:r>
          <w:r>
            <w:rPr>
              <w:rFonts w:hint="eastAsia"/>
              <w:szCs w:val="32"/>
            </w:rPr>
            <w:t>附件一：重点项目清单</w:t>
          </w:r>
          <w:r>
            <w:tab/>
          </w:r>
          <w:r>
            <w:fldChar w:fldCharType="begin"/>
          </w:r>
          <w:r>
            <w:instrText xml:space="preserve"> PAGEREF _Toc4714 \h </w:instrText>
          </w:r>
          <w:r>
            <w:fldChar w:fldCharType="separate"/>
          </w:r>
          <w:r>
            <w:t>64</w:t>
          </w:r>
          <w:r>
            <w:fldChar w:fldCharType="end"/>
          </w:r>
          <w:r>
            <w:rPr>
              <w:szCs w:val="28"/>
            </w:rPr>
            <w:fldChar w:fldCharType="end"/>
          </w:r>
        </w:p>
        <w:p>
          <w:pPr>
            <w:pStyle w:val="16"/>
            <w:tabs>
              <w:tab w:val="right" w:leader="dot" w:pos="8312"/>
            </w:tabs>
          </w:pPr>
          <w:r>
            <w:rPr>
              <w:szCs w:val="28"/>
            </w:rPr>
            <w:fldChar w:fldCharType="begin"/>
          </w:r>
          <w:r>
            <w:rPr>
              <w:szCs w:val="28"/>
            </w:rPr>
            <w:instrText xml:space="preserve"> HYPERLINK \l _Toc20955 </w:instrText>
          </w:r>
          <w:r>
            <w:rPr>
              <w:szCs w:val="28"/>
            </w:rPr>
            <w:fldChar w:fldCharType="separate"/>
          </w:r>
          <w:r>
            <w:rPr>
              <w:rFonts w:hint="eastAsia"/>
              <w:szCs w:val="32"/>
            </w:rPr>
            <w:t>附件二：重点企业培育清单</w:t>
          </w:r>
          <w:r>
            <w:tab/>
          </w:r>
          <w:r>
            <w:fldChar w:fldCharType="begin"/>
          </w:r>
          <w:r>
            <w:instrText xml:space="preserve"> PAGEREF _Toc20955 \h </w:instrText>
          </w:r>
          <w:r>
            <w:fldChar w:fldCharType="separate"/>
          </w:r>
          <w:r>
            <w:t>67</w:t>
          </w:r>
          <w:r>
            <w:fldChar w:fldCharType="end"/>
          </w:r>
          <w:r>
            <w:rPr>
              <w:szCs w:val="28"/>
            </w:rPr>
            <w:fldChar w:fldCharType="end"/>
          </w:r>
        </w:p>
        <w:p>
          <w:pPr>
            <w:pStyle w:val="12"/>
            <w:spacing w:line="560" w:lineRule="exact"/>
            <w:ind w:firstLine="600"/>
            <w:sectPr>
              <w:footerReference r:id="rId11" w:type="default"/>
              <w:pgSz w:w="11906" w:h="16838"/>
              <w:pgMar w:top="1440" w:right="1797" w:bottom="1440" w:left="1797" w:header="851" w:footer="992" w:gutter="0"/>
              <w:pgNumType w:fmt="upperRoman" w:start="1"/>
              <w:cols w:space="425" w:num="1"/>
              <w:docGrid w:type="lines" w:linePitch="312" w:charSpace="0"/>
            </w:sectPr>
          </w:pPr>
          <w:r>
            <w:rPr>
              <w:szCs w:val="28"/>
            </w:rPr>
            <w:fldChar w:fldCharType="end"/>
          </w:r>
        </w:p>
      </w:sdtContent>
    </w:sdt>
    <w:p>
      <w:pPr>
        <w:spacing w:line="560" w:lineRule="exact"/>
        <w:ind w:firstLine="640"/>
        <w:rPr>
          <w:rFonts w:hint="default" w:ascii="Times New Roman" w:hAnsi="Times New Roman" w:cs="Times New Roman"/>
          <w:color w:val="0000FF"/>
        </w:rPr>
      </w:pPr>
      <w:bookmarkStart w:id="1" w:name="_Toc3745"/>
      <w:bookmarkStart w:id="2" w:name="_Toc21156"/>
      <w:r>
        <w:rPr>
          <w:rFonts w:hint="eastAsia" w:ascii="仿宋_GB2312" w:hAnsi="仿宋_GB2312" w:cs="仿宋_GB2312"/>
          <w:color w:val="0000FF"/>
          <w:sz w:val="32"/>
          <w:szCs w:val="32"/>
          <w:lang w:val="en-US" w:eastAsia="zh-CN"/>
        </w:rPr>
        <w:t>生态工业是强县富民的主引擎、主战场、主渠道。</w:t>
      </w:r>
      <w:r>
        <w:rPr>
          <w:rFonts w:hint="eastAsia" w:ascii="仿宋_GB2312" w:hAnsi="仿宋_GB2312" w:cs="仿宋_GB2312"/>
          <w:color w:val="0000FF"/>
          <w:sz w:val="32"/>
          <w:szCs w:val="32"/>
        </w:rPr>
        <w:t>青田县生态工业“十四五”发展规划，根据《浙江省国民经济和社会发展第十四个五年规划和二〇三五年远景目标纲要》</w:t>
      </w:r>
      <w:r>
        <w:rPr>
          <w:rFonts w:hint="eastAsia" w:ascii="仿宋_GB2312" w:hAnsi="仿宋_GB2312" w:cs="仿宋_GB2312"/>
          <w:color w:val="0000FF"/>
          <w:sz w:val="32"/>
          <w:szCs w:val="32"/>
          <w:lang w:eastAsia="zh-CN"/>
        </w:rPr>
        <w:t>《</w:t>
      </w:r>
      <w:r>
        <w:rPr>
          <w:rFonts w:hint="eastAsia" w:ascii="仿宋_GB2312" w:hAnsi="仿宋_GB2312" w:cs="仿宋_GB2312"/>
          <w:color w:val="0000FF"/>
          <w:sz w:val="32"/>
          <w:szCs w:val="32"/>
          <w:lang w:val="en-US" w:eastAsia="zh-CN"/>
        </w:rPr>
        <w:t>浙江省全球先进制造业基地建设“十四五”规划</w:t>
      </w:r>
      <w:r>
        <w:rPr>
          <w:rFonts w:hint="eastAsia" w:ascii="仿宋_GB2312" w:hAnsi="仿宋_GB2312" w:cs="仿宋_GB2312"/>
          <w:color w:val="0000FF"/>
          <w:sz w:val="32"/>
          <w:szCs w:val="32"/>
          <w:lang w:eastAsia="zh-CN"/>
        </w:rPr>
        <w:t>》《丽水市“十四五”生态工业发展规划项目》</w:t>
      </w:r>
      <w:r>
        <w:rPr>
          <w:rFonts w:hint="eastAsia" w:ascii="仿宋_GB2312" w:hAnsi="仿宋_GB2312" w:cs="仿宋_GB2312"/>
          <w:color w:val="0000FF"/>
          <w:sz w:val="32"/>
          <w:szCs w:val="32"/>
        </w:rPr>
        <w:t>《青田县和社会发展第十四个五年规划和二〇三五年远景目标纲要》</w:t>
      </w:r>
      <w:r>
        <w:rPr>
          <w:rFonts w:hint="eastAsia" w:ascii="仿宋_GB2312" w:hAnsi="仿宋_GB2312" w:cs="仿宋_GB2312"/>
          <w:color w:val="0000FF"/>
          <w:sz w:val="32"/>
          <w:szCs w:val="32"/>
          <w:lang w:val="en-US" w:eastAsia="zh-CN"/>
        </w:rPr>
        <w:t>等文件</w:t>
      </w:r>
      <w:r>
        <w:rPr>
          <w:rFonts w:hint="eastAsia" w:ascii="仿宋_GB2312" w:hAnsi="仿宋_GB2312" w:cs="仿宋_GB2312"/>
          <w:color w:val="0000FF"/>
          <w:sz w:val="32"/>
          <w:szCs w:val="32"/>
        </w:rPr>
        <w:t>制定，主要阐明</w:t>
      </w:r>
      <w:r>
        <w:rPr>
          <w:rFonts w:hint="eastAsia" w:ascii="仿宋_GB2312" w:hAnsi="仿宋_GB2312" w:cs="仿宋_GB2312"/>
          <w:color w:val="0000FF"/>
          <w:sz w:val="32"/>
          <w:szCs w:val="32"/>
          <w:lang w:val="en-US" w:eastAsia="zh-CN"/>
        </w:rPr>
        <w:t>生态工业高质量发展、现代化先行、竞争力提升的</w:t>
      </w:r>
      <w:r>
        <w:rPr>
          <w:rFonts w:hint="eastAsia" w:ascii="仿宋_GB2312" w:hAnsi="仿宋_GB2312" w:cs="仿宋_GB2312"/>
          <w:color w:val="0000FF"/>
          <w:sz w:val="32"/>
          <w:szCs w:val="32"/>
        </w:rPr>
        <w:t>战略</w:t>
      </w:r>
      <w:r>
        <w:rPr>
          <w:rFonts w:hint="eastAsia" w:ascii="仿宋_GB2312" w:hAnsi="仿宋_GB2312" w:cs="仿宋_GB2312"/>
          <w:color w:val="0000FF"/>
          <w:sz w:val="32"/>
          <w:szCs w:val="32"/>
          <w:lang w:val="en-US" w:eastAsia="zh-CN"/>
        </w:rPr>
        <w:t>蓝图</w:t>
      </w:r>
      <w:r>
        <w:rPr>
          <w:rFonts w:hint="eastAsia" w:ascii="仿宋_GB2312" w:hAnsi="仿宋_GB2312" w:cs="仿宋_GB2312"/>
          <w:color w:val="0000FF"/>
          <w:sz w:val="32"/>
          <w:szCs w:val="32"/>
        </w:rPr>
        <w:t>，</w:t>
      </w:r>
      <w:r>
        <w:rPr>
          <w:rFonts w:hint="eastAsia" w:ascii="仿宋_GB2312" w:hAnsi="仿宋_GB2312" w:cs="仿宋_GB2312"/>
          <w:color w:val="0000FF"/>
          <w:sz w:val="32"/>
          <w:szCs w:val="32"/>
          <w:lang w:val="en-US" w:eastAsia="zh-CN"/>
        </w:rPr>
        <w:t>是持续提升政府整体智治效能、</w:t>
      </w:r>
      <w:r>
        <w:rPr>
          <w:rFonts w:hint="default" w:ascii="Times New Roman" w:hAnsi="Times New Roman" w:cs="Times New Roman"/>
          <w:color w:val="0000FF"/>
        </w:rPr>
        <w:t>持续激发市场主体活力、提高风险挑战应对能力的纲领文件。规划期限至</w:t>
      </w:r>
      <w:r>
        <w:rPr>
          <w:rFonts w:hint="eastAsia" w:ascii="Times New Roman" w:hAnsi="Times New Roman" w:cs="Times New Roman"/>
          <w:color w:val="0000FF"/>
          <w:lang w:eastAsia="zh-CN"/>
        </w:rPr>
        <w:t>2025</w:t>
      </w:r>
      <w:r>
        <w:rPr>
          <w:rFonts w:hint="default" w:ascii="Times New Roman" w:hAnsi="Times New Roman" w:cs="Times New Roman"/>
          <w:color w:val="0000FF"/>
        </w:rPr>
        <w:t>年，展望至</w:t>
      </w:r>
      <w:r>
        <w:rPr>
          <w:rFonts w:hint="eastAsia" w:ascii="Times New Roman" w:hAnsi="Times New Roman" w:cs="Times New Roman"/>
          <w:color w:val="0000FF"/>
          <w:lang w:eastAsia="zh-CN"/>
        </w:rPr>
        <w:t>2035</w:t>
      </w:r>
      <w:r>
        <w:rPr>
          <w:rFonts w:hint="default" w:ascii="Times New Roman" w:hAnsi="Times New Roman" w:cs="Times New Roman"/>
          <w:color w:val="0000FF"/>
        </w:rPr>
        <w:t>年。</w:t>
      </w:r>
    </w:p>
    <w:p>
      <w:pPr>
        <w:pStyle w:val="12"/>
        <w:rPr>
          <w:rFonts w:hint="eastAsia"/>
        </w:rPr>
      </w:pPr>
    </w:p>
    <w:p>
      <w:pPr>
        <w:pStyle w:val="29"/>
        <w:spacing w:line="560" w:lineRule="exact"/>
        <w:ind w:firstLine="0" w:firstLineChars="0"/>
        <w:rPr>
          <w:sz w:val="32"/>
          <w:szCs w:val="32"/>
        </w:rPr>
      </w:pPr>
      <w:bookmarkStart w:id="3" w:name="_Toc18136"/>
      <w:r>
        <w:rPr>
          <w:rFonts w:hint="eastAsia"/>
          <w:sz w:val="32"/>
          <w:szCs w:val="32"/>
        </w:rPr>
        <w:t>一、发展基础</w:t>
      </w:r>
      <w:bookmarkEnd w:id="3"/>
    </w:p>
    <w:p>
      <w:pPr>
        <w:pStyle w:val="4"/>
        <w:spacing w:line="560" w:lineRule="exact"/>
        <w:ind w:firstLine="602"/>
        <w:contextualSpacing/>
        <w:rPr>
          <w:rFonts w:hint="default" w:ascii="楷体_GB2312" w:eastAsia="楷体_GB2312"/>
          <w:color w:val="000000"/>
          <w:lang w:val="en-US" w:eastAsia="zh-CN"/>
        </w:rPr>
      </w:pPr>
      <w:bookmarkStart w:id="4" w:name="_Toc25763"/>
      <w:r>
        <w:rPr>
          <w:rFonts w:hint="eastAsia" w:ascii="楷体_GB2312" w:eastAsia="楷体_GB2312"/>
          <w:color w:val="000000"/>
        </w:rPr>
        <w:t>（一）</w:t>
      </w:r>
      <w:r>
        <w:rPr>
          <w:rFonts w:hint="eastAsia" w:ascii="楷体_GB2312" w:eastAsia="楷体_GB2312"/>
          <w:color w:val="000000"/>
          <w:lang w:eastAsia="zh-CN"/>
        </w:rPr>
        <w:t>“</w:t>
      </w:r>
      <w:r>
        <w:rPr>
          <w:rFonts w:hint="eastAsia" w:ascii="楷体_GB2312" w:eastAsia="楷体_GB2312"/>
          <w:color w:val="000000"/>
          <w:lang w:val="en-US" w:eastAsia="zh-CN"/>
        </w:rPr>
        <w:t>十三五</w:t>
      </w:r>
      <w:r>
        <w:rPr>
          <w:rFonts w:hint="eastAsia" w:ascii="楷体_GB2312" w:eastAsia="楷体_GB2312"/>
          <w:color w:val="000000"/>
          <w:lang w:eastAsia="zh-CN"/>
        </w:rPr>
        <w:t>”</w:t>
      </w:r>
      <w:r>
        <w:rPr>
          <w:rFonts w:hint="eastAsia" w:ascii="楷体_GB2312" w:eastAsia="楷体_GB2312"/>
          <w:color w:val="000000"/>
          <w:lang w:val="en-US" w:eastAsia="zh-CN"/>
        </w:rPr>
        <w:t>发展成果</w:t>
      </w:r>
      <w:bookmarkEnd w:id="4"/>
    </w:p>
    <w:p>
      <w:pPr>
        <w:spacing w:line="560" w:lineRule="exact"/>
        <w:ind w:firstLine="640"/>
        <w:rPr>
          <w:rFonts w:ascii="仿宋_GB2312" w:hAnsi="仿宋_GB2312" w:cs="仿宋_GB2312"/>
          <w:color w:val="0000FF"/>
          <w:sz w:val="32"/>
          <w:szCs w:val="32"/>
        </w:rPr>
      </w:pPr>
      <w:r>
        <w:rPr>
          <w:rFonts w:hint="eastAsia" w:ascii="Times New Roman" w:hAnsi="Times New Roman" w:cs="Times New Roman"/>
          <w:color w:val="0000FF"/>
          <w:lang w:eastAsia="zh-CN"/>
        </w:rPr>
        <w:t>“</w:t>
      </w:r>
      <w:r>
        <w:rPr>
          <w:rFonts w:hint="default" w:ascii="Times New Roman" w:hAnsi="Times New Roman" w:cs="Times New Roman"/>
          <w:color w:val="0000FF"/>
        </w:rPr>
        <w:t>十三五</w:t>
      </w:r>
      <w:r>
        <w:rPr>
          <w:rFonts w:hint="eastAsia" w:ascii="Times New Roman" w:hAnsi="Times New Roman" w:cs="Times New Roman"/>
          <w:color w:val="0000FF"/>
          <w:lang w:eastAsia="zh-CN"/>
        </w:rPr>
        <w:t>”</w:t>
      </w:r>
      <w:r>
        <w:rPr>
          <w:rFonts w:hint="default" w:ascii="Times New Roman" w:hAnsi="Times New Roman" w:cs="Times New Roman"/>
          <w:color w:val="0000FF"/>
        </w:rPr>
        <w:t>时期是</w:t>
      </w:r>
      <w:r>
        <w:rPr>
          <w:rFonts w:hint="eastAsia" w:cs="Times New Roman"/>
          <w:color w:val="0000FF"/>
          <w:lang w:val="en-US" w:eastAsia="zh-CN"/>
        </w:rPr>
        <w:t>全县生态工业</w:t>
      </w:r>
      <w:r>
        <w:rPr>
          <w:rFonts w:hint="default" w:ascii="Times New Roman" w:hAnsi="Times New Roman" w:cs="Times New Roman"/>
          <w:color w:val="0000FF"/>
        </w:rPr>
        <w:t>发展极不平凡的五年</w:t>
      </w:r>
      <w:r>
        <w:rPr>
          <w:rFonts w:hint="default" w:ascii="Times New Roman" w:hAnsi="Times New Roman" w:cs="Times New Roman"/>
          <w:color w:val="0000FF"/>
          <w:lang w:eastAsia="zh-CN"/>
        </w:rPr>
        <w:t>。面对错综复杂的国际形势</w:t>
      </w:r>
      <w:r>
        <w:rPr>
          <w:rFonts w:hint="eastAsia" w:cs="Times New Roman"/>
          <w:color w:val="0000FF"/>
          <w:lang w:eastAsia="zh-CN"/>
        </w:rPr>
        <w:t>、</w:t>
      </w:r>
      <w:r>
        <w:rPr>
          <w:rFonts w:hint="default" w:ascii="Times New Roman" w:hAnsi="Times New Roman" w:cs="Times New Roman"/>
          <w:color w:val="0000FF"/>
          <w:lang w:eastAsia="zh-CN"/>
        </w:rPr>
        <w:t>经济下行压力</w:t>
      </w:r>
      <w:r>
        <w:rPr>
          <w:rFonts w:hint="default" w:ascii="Times New Roman" w:hAnsi="Times New Roman" w:cs="Times New Roman"/>
          <w:color w:val="0000FF"/>
          <w:lang w:val="en-US" w:eastAsia="zh-CN"/>
        </w:rPr>
        <w:t>和</w:t>
      </w:r>
      <w:r>
        <w:rPr>
          <w:rFonts w:hint="default" w:ascii="Times New Roman" w:hAnsi="Times New Roman" w:cs="Times New Roman"/>
          <w:color w:val="0000FF"/>
          <w:lang w:eastAsia="zh-CN"/>
        </w:rPr>
        <w:t>新冠肺炎疫情冲击</w:t>
      </w:r>
      <w:r>
        <w:rPr>
          <w:rFonts w:hint="default" w:ascii="Times New Roman" w:hAnsi="Times New Roman" w:cs="Times New Roman"/>
          <w:color w:val="0000FF"/>
        </w:rPr>
        <w:t>，全</w:t>
      </w:r>
      <w:r>
        <w:rPr>
          <w:rFonts w:hint="eastAsia" w:cs="Times New Roman"/>
          <w:color w:val="0000FF"/>
          <w:lang w:val="en-US" w:eastAsia="zh-CN"/>
        </w:rPr>
        <w:t>县</w:t>
      </w:r>
      <w:r>
        <w:rPr>
          <w:rFonts w:hint="default" w:ascii="Times New Roman" w:hAnsi="Times New Roman" w:cs="Times New Roman"/>
          <w:color w:val="0000FF"/>
        </w:rPr>
        <w:t>上下高举习近平新</w:t>
      </w:r>
      <w:r>
        <w:rPr>
          <w:rFonts w:hint="default" w:ascii="仿宋_GB2312" w:hAnsi="仿宋_GB2312" w:cs="仿宋_GB2312"/>
          <w:color w:val="0000FF"/>
          <w:sz w:val="32"/>
          <w:szCs w:val="32"/>
        </w:rPr>
        <w:t>时代</w:t>
      </w:r>
      <w:r>
        <w:rPr>
          <w:rFonts w:hint="default" w:ascii="Times New Roman" w:hAnsi="Times New Roman" w:cs="Times New Roman"/>
          <w:color w:val="0000FF"/>
        </w:rPr>
        <w:t>中国特色社会主义思想伟大旗帜，坚持“工业强县”战略不动摇，深入实施生态工业“55211”行动，</w:t>
      </w:r>
      <w:r>
        <w:rPr>
          <w:rFonts w:hint="eastAsia" w:ascii="仿宋_GB2312" w:hAnsi="仿宋_GB2312" w:cs="仿宋_GB2312"/>
          <w:color w:val="0000FF"/>
          <w:sz w:val="32"/>
          <w:szCs w:val="32"/>
        </w:rPr>
        <w:t>成为丽水生态工业试点市建设的主战场，引领和支撑</w:t>
      </w:r>
      <w:r>
        <w:rPr>
          <w:rFonts w:hint="eastAsia" w:ascii="仿宋_GB2312" w:hAnsi="仿宋_GB2312" w:cs="仿宋_GB2312"/>
          <w:color w:val="0000FF"/>
          <w:sz w:val="32"/>
          <w:szCs w:val="32"/>
          <w:lang w:val="en-US" w:eastAsia="zh-CN"/>
        </w:rPr>
        <w:t>区域</w:t>
      </w:r>
      <w:r>
        <w:rPr>
          <w:rFonts w:hint="eastAsia" w:ascii="仿宋_GB2312" w:hAnsi="仿宋_GB2312" w:cs="仿宋_GB2312"/>
          <w:color w:val="0000FF"/>
          <w:sz w:val="32"/>
          <w:szCs w:val="32"/>
        </w:rPr>
        <w:t>经济不断迈上新台阶。</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1、工业发展成效显著</w:t>
      </w:r>
    </w:p>
    <w:p>
      <w:pPr>
        <w:pStyle w:val="38"/>
        <w:spacing w:line="560" w:lineRule="exact"/>
        <w:rPr>
          <w:rFonts w:ascii="仿宋_GB2312" w:hAnsi="仿宋_GB2312" w:cs="仿宋_GB2312"/>
          <w:color w:val="0000FF"/>
        </w:rPr>
      </w:pPr>
      <w:r>
        <w:rPr>
          <w:rFonts w:hint="eastAsia" w:ascii="仿宋_GB2312"/>
          <w:b/>
          <w:bCs/>
          <w:color w:val="000000"/>
        </w:rPr>
        <w:t>（1）生态工业综合实力走在前列</w:t>
      </w:r>
      <w:r>
        <w:rPr>
          <w:rFonts w:ascii="仿宋_GB2312"/>
          <w:b/>
          <w:bCs/>
          <w:color w:val="000000"/>
        </w:rPr>
        <w:t>。</w:t>
      </w:r>
      <w:r>
        <w:rPr>
          <w:rFonts w:hint="eastAsia" w:ascii="仿宋_GB2312"/>
          <w:b/>
          <w:bCs/>
          <w:color w:val="000000"/>
        </w:rPr>
        <w:t>质量效益全市领先。</w:t>
      </w:r>
      <w:r>
        <w:rPr>
          <w:rFonts w:hint="eastAsia" w:ascii="仿宋_GB2312" w:hAnsi="仿宋_GB2312" w:cs="仿宋_GB2312"/>
        </w:rPr>
        <w:t>青田逐步形成了以高端不锈钢、时尚鞋服、精密制造、石矿为主导产业，石雕、休闲椅为特色产业的发展模式。</w:t>
      </w:r>
      <w:r>
        <w:rPr>
          <w:rFonts w:hint="eastAsia" w:ascii="仿宋_GB2312" w:hAnsi="仿宋_GB2312" w:cs="仿宋_GB2312"/>
          <w:color w:val="0000FF"/>
          <w:lang w:eastAsia="zh-CN"/>
        </w:rPr>
        <w:t>“</w:t>
      </w:r>
      <w:r>
        <w:rPr>
          <w:rFonts w:hint="eastAsia" w:ascii="仿宋_GB2312" w:hAnsi="仿宋_GB2312" w:cs="仿宋_GB2312"/>
          <w:color w:val="0000FF"/>
          <w:lang w:val="en-US" w:eastAsia="zh-CN"/>
        </w:rPr>
        <w:t>十三五”末全县</w:t>
      </w:r>
      <w:r>
        <w:rPr>
          <w:rFonts w:hint="eastAsia" w:ascii="仿宋_GB2312" w:hAnsi="仿宋_GB2312" w:cs="仿宋_GB2312"/>
          <w:color w:val="0000FF"/>
        </w:rPr>
        <w:t>实现工业增加值81.4亿元</w:t>
      </w:r>
      <w:r>
        <w:rPr>
          <w:rFonts w:hint="eastAsia" w:ascii="仿宋_GB2312" w:hAnsi="仿宋_GB2312" w:cs="仿宋_GB2312"/>
          <w:color w:val="0000FF"/>
          <w:lang w:eastAsia="zh-CN"/>
        </w:rPr>
        <w:t>，</w:t>
      </w:r>
      <w:r>
        <w:rPr>
          <w:rFonts w:hint="eastAsia" w:ascii="仿宋_GB2312" w:hAnsi="仿宋_GB2312" w:cs="仿宋_GB2312"/>
          <w:color w:val="0000FF"/>
          <w:lang w:val="en-US" w:eastAsia="zh-CN"/>
        </w:rPr>
        <w:t>占GDP的比重从“十二五”末的51.8%提高到32.7%</w:t>
      </w:r>
      <w:r>
        <w:rPr>
          <w:rFonts w:hint="eastAsia" w:ascii="仿宋_GB2312" w:hAnsi="仿宋_GB2312" w:cs="仿宋_GB2312"/>
          <w:color w:val="0000FF"/>
          <w:lang w:eastAsia="zh-CN"/>
        </w:rPr>
        <w:t>。</w:t>
      </w:r>
      <w:r>
        <w:rPr>
          <w:rFonts w:hint="eastAsia" w:ascii="仿宋_GB2312" w:hAnsi="仿宋_GB2312" w:cs="仿宋_GB2312"/>
          <w:b/>
          <w:bCs/>
        </w:rPr>
        <w:t>“亩均效益”稳步提升。</w:t>
      </w:r>
      <w:r>
        <w:rPr>
          <w:rFonts w:hint="eastAsia" w:ascii="仿宋_GB2312" w:hAnsi="仿宋_GB2312" w:cs="仿宋_GB2312"/>
        </w:rPr>
        <w:t>围绕“生态经济化、经济生态化”发展主线，在提质扩量并重的前提下，</w:t>
      </w:r>
      <w:r>
        <w:rPr>
          <w:rFonts w:hint="eastAsia" w:ascii="仿宋_GB2312" w:hAnsi="仿宋_GB2312" w:cs="仿宋_GB2312"/>
          <w:lang w:eastAsia="zh-Hans"/>
        </w:rPr>
        <w:t>全县深入实施“亩均论英雄”改革</w:t>
      </w:r>
      <w:r>
        <w:rPr>
          <w:rFonts w:ascii="仿宋_GB2312" w:hAnsi="仿宋_GB2312" w:cs="仿宋_GB2312"/>
          <w:lang w:eastAsia="zh-Hans"/>
        </w:rPr>
        <w:t>，</w:t>
      </w:r>
      <w:r>
        <w:rPr>
          <w:rFonts w:hint="eastAsia" w:ascii="仿宋_GB2312" w:hAnsi="仿宋_GB2312" w:cs="仿宋_GB2312"/>
        </w:rPr>
        <w:t>生态工业经济呈现“平稳过渡、稳中提升”态势。</w:t>
      </w:r>
      <w:r>
        <w:rPr>
          <w:rFonts w:hint="eastAsia" w:ascii="仿宋_GB2312" w:hAnsi="仿宋_GB2312" w:cs="仿宋_GB2312"/>
          <w:color w:val="0000FF"/>
        </w:rPr>
        <w:t>“十三五”期间，青田的亩均增加值、亩均税收连续四年位列全省前十。</w:t>
      </w:r>
    </w:p>
    <w:p>
      <w:pPr>
        <w:pStyle w:val="38"/>
        <w:spacing w:line="560" w:lineRule="exact"/>
        <w:rPr>
          <w:rFonts w:ascii="仿宋_GB2312" w:hAnsi="仿宋_GB2312" w:cs="仿宋_GB2312"/>
        </w:rPr>
      </w:pPr>
      <w:r>
        <w:rPr>
          <w:rFonts w:hint="eastAsia" w:ascii="仿宋_GB2312"/>
          <w:b/>
          <w:bCs/>
          <w:color w:val="000000"/>
        </w:rPr>
        <w:t>（2）产业结构和空间布局双优化</w:t>
      </w:r>
      <w:r>
        <w:rPr>
          <w:rFonts w:ascii="仿宋_GB2312"/>
          <w:b/>
          <w:bCs/>
          <w:color w:val="000000"/>
        </w:rPr>
        <w:t>。</w:t>
      </w:r>
      <w:r>
        <w:rPr>
          <w:rFonts w:hint="eastAsia" w:ascii="仿宋_GB2312" w:hAnsi="仿宋_GB2312" w:cs="仿宋_GB2312"/>
        </w:rPr>
        <w:t>青田坚决淘汰高能耗、高污染以及资源性的“二高一资”项目</w:t>
      </w:r>
      <w:r>
        <w:rPr>
          <w:rFonts w:ascii="仿宋_GB2312" w:hAnsi="仿宋_GB2312" w:cs="仿宋_GB2312"/>
        </w:rPr>
        <w:t>，</w:t>
      </w:r>
      <w:r>
        <w:rPr>
          <w:rFonts w:hint="eastAsia" w:ascii="仿宋_GB2312" w:hAnsi="仿宋_GB2312" w:cs="仿宋_GB2312"/>
          <w:b/>
          <w:bCs/>
          <w:lang w:eastAsia="zh-Hans"/>
        </w:rPr>
        <w:t>实施</w:t>
      </w:r>
      <w:r>
        <w:rPr>
          <w:rFonts w:hint="eastAsia" w:ascii="仿宋_GB2312"/>
          <w:b/>
          <w:bCs/>
          <w:color w:val="000000"/>
          <w:lang w:eastAsia="zh-Hans"/>
        </w:rPr>
        <w:t>“双项整治”行动</w:t>
      </w:r>
      <w:r>
        <w:rPr>
          <w:rFonts w:ascii="仿宋_GB2312"/>
          <w:b/>
          <w:bCs/>
          <w:color w:val="000000"/>
          <w:lang w:eastAsia="zh-Hans"/>
        </w:rPr>
        <w:t>。</w:t>
      </w:r>
      <w:r>
        <w:rPr>
          <w:rFonts w:hint="eastAsia" w:ascii="仿宋_GB2312" w:hAnsi="仿宋_GB2312" w:cs="仿宋_GB2312"/>
          <w:lang w:eastAsia="zh-Hans"/>
        </w:rPr>
        <w:t>开展</w:t>
      </w:r>
      <w:r>
        <w:rPr>
          <w:rFonts w:hint="eastAsia" w:ascii="仿宋_GB2312" w:hAnsi="仿宋_GB2312" w:cs="仿宋_GB2312"/>
        </w:rPr>
        <w:t>“低散乱”企业整治</w:t>
      </w:r>
      <w:r>
        <w:rPr>
          <w:rFonts w:ascii="仿宋_GB2312" w:hAnsi="仿宋_GB2312" w:cs="仿宋_GB2312"/>
        </w:rPr>
        <w:t>，</w:t>
      </w:r>
      <w:r>
        <w:rPr>
          <w:rFonts w:hint="eastAsia" w:ascii="仿宋_GB2312" w:hAnsi="仿宋_GB2312" w:cs="仿宋_GB2312"/>
        </w:rPr>
        <w:t>深入“阀门、休闲椅、砂石料”等传统</w:t>
      </w:r>
      <w:r>
        <w:rPr>
          <w:rFonts w:hint="eastAsia" w:ascii="仿宋_GB2312" w:hAnsi="仿宋_GB2312" w:cs="仿宋_GB2312"/>
          <w:lang w:eastAsia="zh-Hans"/>
        </w:rPr>
        <w:t>行业</w:t>
      </w:r>
      <w:r>
        <w:rPr>
          <w:rFonts w:hint="eastAsia" w:ascii="仿宋_GB2312" w:hAnsi="仿宋_GB2312" w:cs="仿宋_GB2312"/>
        </w:rPr>
        <w:t>，</w:t>
      </w:r>
      <w:r>
        <w:rPr>
          <w:rFonts w:hint="eastAsia" w:ascii="仿宋_GB2312" w:hAnsi="仿宋_GB2312" w:cs="仿宋_GB2312"/>
          <w:color w:val="0000FF"/>
        </w:rPr>
        <w:t>累计整治企业6</w:t>
      </w:r>
      <w:r>
        <w:rPr>
          <w:rFonts w:ascii="仿宋_GB2312" w:hAnsi="仿宋_GB2312" w:cs="仿宋_GB2312"/>
          <w:color w:val="0000FF"/>
        </w:rPr>
        <w:t>16</w:t>
      </w:r>
      <w:r>
        <w:rPr>
          <w:rFonts w:hint="eastAsia" w:ascii="仿宋_GB2312" w:hAnsi="仿宋_GB2312" w:cs="仿宋_GB2312"/>
          <w:color w:val="0000FF"/>
        </w:rPr>
        <w:t>家、改造砂石料、休闲椅、电镀等行业低效企业1</w:t>
      </w:r>
      <w:r>
        <w:rPr>
          <w:rFonts w:ascii="仿宋_GB2312" w:hAnsi="仿宋_GB2312" w:cs="仿宋_GB2312"/>
          <w:color w:val="0000FF"/>
        </w:rPr>
        <w:t>51</w:t>
      </w:r>
      <w:r>
        <w:rPr>
          <w:rFonts w:hint="eastAsia" w:ascii="仿宋_GB2312" w:hAnsi="仿宋_GB2312" w:cs="仿宋_GB2312"/>
          <w:color w:val="0000FF"/>
        </w:rPr>
        <w:t>家</w:t>
      </w:r>
      <w:r>
        <w:rPr>
          <w:rFonts w:ascii="仿宋_GB2312" w:hAnsi="仿宋_GB2312" w:cs="仿宋_GB2312"/>
        </w:rPr>
        <w:t>。</w:t>
      </w:r>
      <w:r>
        <w:rPr>
          <w:rFonts w:hint="eastAsia" w:ascii="仿宋_GB2312" w:hAnsi="仿宋_GB2312" w:cs="仿宋_GB2312"/>
          <w:lang w:eastAsia="zh-Hans"/>
        </w:rPr>
        <w:t>开展污染</w:t>
      </w:r>
      <w:r>
        <w:rPr>
          <w:rFonts w:hint="eastAsia" w:ascii="仿宋_GB2312" w:hAnsi="仿宋_GB2312" w:cs="仿宋_GB2312"/>
        </w:rPr>
        <w:t>整治</w:t>
      </w:r>
      <w:r>
        <w:rPr>
          <w:rFonts w:ascii="仿宋_GB2312" w:hAnsi="仿宋_GB2312" w:cs="仿宋_GB2312"/>
        </w:rPr>
        <w:t>，</w:t>
      </w:r>
      <w:r>
        <w:rPr>
          <w:rFonts w:hint="eastAsia" w:ascii="仿宋_GB2312" w:hAnsi="仿宋_GB2312" w:cs="仿宋_GB2312"/>
        </w:rPr>
        <w:t>以企业污染整治为主要抓手，强势推进紧固件、UV镀、合成革等重点</w:t>
      </w:r>
      <w:r>
        <w:rPr>
          <w:rFonts w:hint="eastAsia" w:ascii="仿宋_GB2312" w:hAnsi="仿宋_GB2312" w:cs="仿宋_GB2312"/>
          <w:lang w:eastAsia="zh-Hans"/>
        </w:rPr>
        <w:t>行业整治</w:t>
      </w:r>
      <w:r>
        <w:rPr>
          <w:rFonts w:ascii="仿宋_GB2312" w:hAnsi="仿宋_GB2312" w:cs="仿宋_GB2312"/>
        </w:rPr>
        <w:t>。</w:t>
      </w:r>
      <w:r>
        <w:rPr>
          <w:rFonts w:hint="eastAsia" w:ascii="仿宋_GB2312"/>
          <w:color w:val="000000"/>
          <w:lang w:eastAsia="zh-Hans"/>
        </w:rPr>
        <w:t>在“双项整治”行动下</w:t>
      </w:r>
      <w:r>
        <w:rPr>
          <w:rFonts w:hint="eastAsia" w:ascii="仿宋_GB2312" w:hAnsi="仿宋_GB2312" w:cs="仿宋_GB2312"/>
        </w:rPr>
        <w:t>，</w:t>
      </w:r>
      <w:r>
        <w:rPr>
          <w:rFonts w:hint="eastAsia" w:ascii="仿宋_GB2312" w:hAnsi="仿宋_GB2312" w:cs="仿宋_GB2312"/>
          <w:lang w:eastAsia="zh-Hans"/>
        </w:rPr>
        <w:t>全县产业结构得到进一步优化</w:t>
      </w:r>
      <w:r>
        <w:rPr>
          <w:rFonts w:ascii="仿宋_GB2312" w:hAnsi="仿宋_GB2312" w:cs="仿宋_GB2312"/>
          <w:lang w:eastAsia="zh-Hans"/>
        </w:rPr>
        <w:t>，</w:t>
      </w:r>
      <w:r>
        <w:rPr>
          <w:rFonts w:hint="eastAsia" w:ascii="仿宋_GB2312" w:hAnsi="仿宋_GB2312" w:cs="仿宋_GB2312"/>
        </w:rPr>
        <w:t>生态工业结构更趋合理</w:t>
      </w:r>
      <w:r>
        <w:rPr>
          <w:rFonts w:ascii="仿宋_GB2312" w:hAnsi="仿宋_GB2312" w:cs="仿宋_GB2312"/>
        </w:rPr>
        <w:t>，</w:t>
      </w:r>
      <w:r>
        <w:rPr>
          <w:rFonts w:hint="eastAsia" w:ascii="仿宋_GB2312" w:hAnsi="仿宋_GB2312" w:cs="仿宋_GB2312"/>
        </w:rPr>
        <w:t>对全县生态工业发展促进效果显著</w:t>
      </w:r>
      <w:r>
        <w:rPr>
          <w:rFonts w:ascii="仿宋_GB2312" w:hAnsi="仿宋_GB2312" w:cs="仿宋_GB2312"/>
        </w:rPr>
        <w:t>。</w:t>
      </w:r>
      <w:r>
        <w:rPr>
          <w:rFonts w:hint="eastAsia"/>
          <w:b/>
          <w:bCs/>
          <w:lang w:eastAsia="zh-Hans"/>
        </w:rPr>
        <w:t>“一区十园”统筹发展。</w:t>
      </w:r>
      <w:r>
        <w:rPr>
          <w:rFonts w:hint="eastAsia" w:ascii="仿宋_GB2312" w:hAnsi="仿宋_GB2312" w:cs="仿宋_GB2312"/>
        </w:rPr>
        <w:t>青田在注重环境保护和可持续发展的前提下，突出重点，合理调整产业结构及空间布局，整合青田经济开发区，形成“一区多园”的工业用地结构</w:t>
      </w:r>
      <w:r>
        <w:rPr>
          <w:rFonts w:ascii="仿宋_GB2312" w:hAnsi="仿宋_GB2312" w:cs="仿宋_GB2312"/>
        </w:rPr>
        <w:t>，</w:t>
      </w:r>
      <w:r>
        <w:rPr>
          <w:rFonts w:hint="eastAsia" w:ascii="仿宋_GB2312" w:hAnsi="仿宋_GB2312" w:cs="仿宋_GB2312"/>
          <w:lang w:eastAsia="zh-Hans"/>
        </w:rPr>
        <w:t>在此基础上</w:t>
      </w:r>
      <w:r>
        <w:rPr>
          <w:rFonts w:hint="eastAsia" w:ascii="仿宋_GB2312" w:hAnsi="仿宋_GB2312" w:cs="仿宋_GB2312"/>
        </w:rPr>
        <w:t>构建了经济开发区为统领，温溪工业园、船寮工业园、油竹工业园为主战场，山口工业园、腊口工业园等为支撑的“一区十园”组团发展格局</w:t>
      </w:r>
      <w:r>
        <w:rPr>
          <w:rFonts w:ascii="仿宋_GB2312" w:hAnsi="仿宋_GB2312" w:cs="仿宋_GB2312"/>
        </w:rPr>
        <w:t>。</w:t>
      </w:r>
      <w:r>
        <w:rPr>
          <w:rFonts w:hint="eastAsia" w:ascii="仿宋_GB2312" w:hAnsi="仿宋_GB2312" w:cs="仿宋_GB2312"/>
        </w:rPr>
        <w:t>全县95%以上的制造业类型的小微企业分布在青田经济开发区中（一区十园）</w:t>
      </w:r>
      <w:r>
        <w:rPr>
          <w:rFonts w:ascii="仿宋_GB2312" w:hAnsi="仿宋_GB2312" w:cs="仿宋_GB2312"/>
        </w:rPr>
        <w:t>，</w:t>
      </w:r>
      <w:r>
        <w:rPr>
          <w:rFonts w:hint="eastAsia" w:ascii="仿宋_GB2312" w:hAnsi="仿宋_GB2312" w:cs="仿宋_GB2312"/>
        </w:rPr>
        <w:t>基本实现“工业园区以外无工业，工业园区以内无非生态工业”</w:t>
      </w:r>
      <w:r>
        <w:rPr>
          <w:rFonts w:ascii="仿宋_GB2312" w:hAnsi="仿宋_GB2312" w:cs="仿宋_GB2312"/>
        </w:rPr>
        <w:t>。</w:t>
      </w:r>
    </w:p>
    <w:p>
      <w:pPr>
        <w:pStyle w:val="33"/>
        <w:shd w:val="clear" w:color="FFFFFF" w:fill="auto"/>
        <w:spacing w:after="204" w:line="560" w:lineRule="exact"/>
        <w:ind w:firstLine="602"/>
        <w:rPr>
          <w:rFonts w:ascii="仿宋_GB2312" w:hAnsi="仿宋_GB2312" w:cs="仿宋_GB2312"/>
        </w:rPr>
      </w:pPr>
      <w:r>
        <w:drawing>
          <wp:anchor distT="0" distB="0" distL="0" distR="0" simplePos="0" relativeHeight="251659264" behindDoc="0" locked="0" layoutInCell="1" allowOverlap="1">
            <wp:simplePos x="0" y="0"/>
            <wp:positionH relativeFrom="column">
              <wp:posOffset>1067435</wp:posOffset>
            </wp:positionH>
            <wp:positionV relativeFrom="paragraph">
              <wp:posOffset>259715</wp:posOffset>
            </wp:positionV>
            <wp:extent cx="3144520" cy="2665095"/>
            <wp:effectExtent l="0" t="0" r="5080" b="190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44520" cy="2665095"/>
                    </a:xfrm>
                    <a:prstGeom prst="rect">
                      <a:avLst/>
                    </a:prstGeom>
                    <a:noFill/>
                    <a:ln>
                      <a:noFill/>
                    </a:ln>
                  </pic:spPr>
                </pic:pic>
              </a:graphicData>
            </a:graphic>
          </wp:anchor>
        </w:drawing>
      </w:r>
      <w:r>
        <w:rPr>
          <w:rFonts w:hint="eastAsia"/>
        </w:rPr>
        <w:t>图</w:t>
      </w:r>
      <w:r>
        <w:t>1-</w:t>
      </w:r>
      <w:r>
        <w:rPr>
          <w:rFonts w:hint="eastAsia"/>
          <w:lang w:val="en-US" w:eastAsia="zh-CN"/>
        </w:rPr>
        <w:t>1</w:t>
      </w:r>
      <w:r>
        <w:t xml:space="preserve"> </w:t>
      </w:r>
      <w:r>
        <w:rPr>
          <w:rFonts w:hint="eastAsia"/>
        </w:rPr>
        <w:t>青田生态工业企业现状布局图</w:t>
      </w:r>
    </w:p>
    <w:p>
      <w:pPr>
        <w:pStyle w:val="38"/>
        <w:numPr>
          <w:ilvl w:val="255"/>
          <w:numId w:val="0"/>
        </w:numPr>
        <w:spacing w:line="560" w:lineRule="exact"/>
        <w:ind w:firstLine="643" w:firstLineChars="200"/>
        <w:rPr>
          <w:rFonts w:ascii="仿宋_GB2312"/>
          <w:color w:val="000000"/>
        </w:rPr>
      </w:pPr>
      <w:r>
        <w:rPr>
          <w:rFonts w:hint="eastAsia" w:ascii="仿宋_GB2312"/>
          <w:b/>
          <w:bCs/>
          <w:color w:val="000000"/>
        </w:rPr>
        <w:t>（3）企业梯队培育成效明显</w:t>
      </w:r>
      <w:r>
        <w:rPr>
          <w:rFonts w:ascii="仿宋_GB2312"/>
          <w:b/>
          <w:bCs/>
          <w:color w:val="000000"/>
        </w:rPr>
        <w:t>。</w:t>
      </w:r>
      <w:r>
        <w:rPr>
          <w:rFonts w:hint="eastAsia" w:ascii="仿宋_GB2312"/>
          <w:color w:val="000000"/>
        </w:rPr>
        <w:t>青田始终将企业培育作为工业强县的重点工作来抓，深入实施“凤凰行动”</w:t>
      </w:r>
      <w:r>
        <w:rPr>
          <w:rFonts w:ascii="仿宋_GB2312"/>
          <w:color w:val="000000"/>
        </w:rPr>
        <w:t>、</w:t>
      </w:r>
      <w:r>
        <w:rPr>
          <w:rFonts w:hint="eastAsia" w:ascii="仿宋_GB2312"/>
          <w:color w:val="000000"/>
        </w:rPr>
        <w:t>“雏鹰行动”等</w:t>
      </w:r>
      <w:r>
        <w:rPr>
          <w:rFonts w:ascii="仿宋_GB2312"/>
          <w:color w:val="000000"/>
        </w:rPr>
        <w:t>。</w:t>
      </w:r>
      <w:r>
        <w:rPr>
          <w:rFonts w:hint="eastAsia" w:ascii="仿宋_GB2312"/>
          <w:color w:val="000000"/>
          <w:lang w:eastAsia="zh-Hans"/>
        </w:rPr>
        <w:t>截至</w:t>
      </w:r>
      <w:r>
        <w:rPr>
          <w:rFonts w:hint="eastAsia" w:ascii="仿宋_GB2312"/>
          <w:color w:val="0000FF"/>
          <w:lang w:eastAsia="zh-CN"/>
        </w:rPr>
        <w:t>“</w:t>
      </w:r>
      <w:r>
        <w:rPr>
          <w:rFonts w:hint="eastAsia" w:ascii="仿宋_GB2312"/>
          <w:color w:val="0000FF"/>
          <w:lang w:val="en-US" w:eastAsia="zh-CN"/>
        </w:rPr>
        <w:t>十三五”末</w:t>
      </w:r>
      <w:r>
        <w:rPr>
          <w:rFonts w:ascii="仿宋_GB2312"/>
          <w:color w:val="000000"/>
          <w:lang w:eastAsia="zh-Hans"/>
        </w:rPr>
        <w:t>，</w:t>
      </w:r>
      <w:r>
        <w:rPr>
          <w:rFonts w:hint="eastAsia" w:ascii="仿宋_GB2312"/>
          <w:color w:val="000000"/>
          <w:lang w:eastAsia="zh-Hans"/>
        </w:rPr>
        <w:t>全县</w:t>
      </w:r>
      <w:r>
        <w:rPr>
          <w:rFonts w:hint="eastAsia" w:ascii="仿宋_GB2312"/>
          <w:color w:val="000000"/>
        </w:rPr>
        <w:t>共有制造业企业2942家，其中</w:t>
      </w:r>
      <w:r>
        <w:rPr>
          <w:rFonts w:ascii="仿宋_GB2312"/>
          <w:color w:val="000000"/>
        </w:rPr>
        <w:t>规模以上</w:t>
      </w:r>
      <w:r>
        <w:rPr>
          <w:rFonts w:hint="eastAsia" w:ascii="仿宋_GB2312"/>
          <w:color w:val="000000"/>
        </w:rPr>
        <w:t>制造业企业157家、占比5.3%。全县共拥有全市唯一的上海主板上市企业——起步股份，新三板挂牌企业两家</w:t>
      </w:r>
      <w:r>
        <w:rPr>
          <w:rFonts w:ascii="仿宋_GB2312"/>
          <w:color w:val="000000"/>
        </w:rPr>
        <w:t>。</w:t>
      </w:r>
      <w:r>
        <w:rPr>
          <w:rFonts w:hint="eastAsia" w:ascii="仿宋_GB2312"/>
          <w:color w:val="000000"/>
        </w:rPr>
        <w:t>拥有百亿级企业1家，10亿元企业4家，亿元企业</w:t>
      </w:r>
      <w:r>
        <w:rPr>
          <w:rFonts w:ascii="仿宋_GB2312"/>
          <w:color w:val="000000"/>
        </w:rPr>
        <w:t>33</w:t>
      </w:r>
      <w:r>
        <w:rPr>
          <w:rFonts w:hint="eastAsia" w:ascii="仿宋_GB2312"/>
          <w:color w:val="000000"/>
        </w:rPr>
        <w:t>家。</w:t>
      </w:r>
      <w:r>
        <w:rPr>
          <w:rFonts w:hint="eastAsia" w:ascii="仿宋_GB2312"/>
          <w:b/>
          <w:bCs/>
          <w:color w:val="000000"/>
        </w:rPr>
        <w:t>加快实施梯队培育计划。</w:t>
      </w:r>
      <w:r>
        <w:rPr>
          <w:rFonts w:hint="eastAsia" w:ascii="仿宋_GB2312"/>
          <w:color w:val="000000"/>
        </w:rPr>
        <w:t>青田着重以生态工业企业发展升级为核心，努力为小企业创业提供平台和政策支撑，打通“绿水青山”与“金山银山”之间的通道</w:t>
      </w:r>
      <w:r>
        <w:rPr>
          <w:rFonts w:ascii="仿宋_GB2312"/>
          <w:color w:val="000000"/>
        </w:rPr>
        <w:t>。</w:t>
      </w:r>
      <w:r>
        <w:rPr>
          <w:rFonts w:hint="eastAsia" w:ascii="仿宋_GB2312"/>
          <w:color w:val="000000"/>
          <w:lang w:eastAsia="zh-CN"/>
        </w:rPr>
        <w:t>“</w:t>
      </w:r>
      <w:r>
        <w:rPr>
          <w:rFonts w:hint="eastAsia" w:ascii="仿宋_GB2312"/>
          <w:color w:val="000000"/>
          <w:lang w:val="en-US" w:eastAsia="zh-CN"/>
        </w:rPr>
        <w:t>十三五”期间</w:t>
      </w:r>
      <w:r>
        <w:rPr>
          <w:rFonts w:hint="eastAsia" w:ascii="仿宋_GB2312"/>
          <w:color w:val="000000"/>
        </w:rPr>
        <w:t>获得全省中小微企业培育工作成绩突出集体。</w:t>
      </w:r>
    </w:p>
    <w:p>
      <w:pPr>
        <w:pStyle w:val="38"/>
        <w:numPr>
          <w:ilvl w:val="0"/>
          <w:numId w:val="1"/>
        </w:numPr>
        <w:spacing w:line="560" w:lineRule="exact"/>
        <w:rPr>
          <w:rFonts w:ascii="仿宋_GB2312"/>
          <w:color w:val="000000"/>
        </w:rPr>
      </w:pPr>
      <w:r>
        <w:rPr>
          <w:rFonts w:hint="eastAsia" w:ascii="仿宋_GB2312"/>
          <w:b/>
          <w:bCs/>
          <w:color w:val="000000"/>
        </w:rPr>
        <w:t>创新能力不断增强。</w:t>
      </w:r>
      <w:r>
        <w:rPr>
          <w:rFonts w:hint="eastAsia" w:ascii="仿宋_GB2312"/>
          <w:color w:val="000000"/>
        </w:rPr>
        <w:t>青田深入实施创新驱动发展战略，相继出台一系列支持创业创新发展的政策措施，设立“创新强县专项”“科技创业投资引导专项”和“科技人才创业创新专项”</w:t>
      </w:r>
      <w:r>
        <w:rPr>
          <w:rFonts w:hint="eastAsia" w:ascii="仿宋_GB2312"/>
          <w:color w:val="000000"/>
          <w:lang w:eastAsia="zh-Hans"/>
        </w:rPr>
        <w:t>等专项资金</w:t>
      </w:r>
      <w:r>
        <w:rPr>
          <w:rFonts w:ascii="仿宋_GB2312"/>
          <w:color w:val="000000"/>
        </w:rPr>
        <w:t>，</w:t>
      </w:r>
      <w:r>
        <w:rPr>
          <w:rFonts w:hint="eastAsia" w:ascii="仿宋_GB2312"/>
          <w:color w:val="000000"/>
          <w:lang w:val="en-US" w:eastAsia="zh-CN"/>
        </w:rPr>
        <w:t>建立</w:t>
      </w:r>
      <w:r>
        <w:rPr>
          <w:rFonts w:hint="eastAsia" w:ascii="仿宋_GB2312"/>
          <w:color w:val="0000FF"/>
        </w:rPr>
        <w:t>科技型中小微企业风险资金</w:t>
      </w:r>
      <w:r>
        <w:rPr>
          <w:rFonts w:hint="eastAsia" w:ascii="仿宋_GB2312"/>
          <w:color w:val="000000"/>
        </w:rPr>
        <w:t>池</w:t>
      </w:r>
      <w:r>
        <w:rPr>
          <w:rFonts w:ascii="仿宋_GB2312"/>
          <w:color w:val="000000"/>
        </w:rPr>
        <w:t>，</w:t>
      </w:r>
      <w:r>
        <w:rPr>
          <w:rFonts w:hint="eastAsia" w:ascii="仿宋_GB2312"/>
          <w:color w:val="000000"/>
          <w:lang w:val="en-US" w:eastAsia="zh-CN"/>
        </w:rPr>
        <w:t>大力</w:t>
      </w:r>
      <w:r>
        <w:rPr>
          <w:rFonts w:ascii="仿宋_GB2312"/>
          <w:color w:val="000000"/>
        </w:rPr>
        <w:t>促进“双创”</w:t>
      </w:r>
      <w:r>
        <w:rPr>
          <w:rFonts w:hint="eastAsia" w:ascii="仿宋_GB2312"/>
          <w:color w:val="000000"/>
          <w:lang w:val="en-US" w:eastAsia="zh-CN"/>
        </w:rPr>
        <w:t>发展</w:t>
      </w:r>
      <w:r>
        <w:rPr>
          <w:rFonts w:ascii="仿宋_GB2312"/>
          <w:color w:val="000000"/>
        </w:rPr>
        <w:t>、推进成果转化、</w:t>
      </w:r>
      <w:r>
        <w:rPr>
          <w:rFonts w:hint="eastAsia" w:ascii="仿宋_GB2312"/>
          <w:color w:val="0000FF"/>
          <w:lang w:val="en-US" w:eastAsia="zh-CN"/>
        </w:rPr>
        <w:t>推动</w:t>
      </w:r>
      <w:r>
        <w:rPr>
          <w:rFonts w:ascii="仿宋_GB2312"/>
          <w:color w:val="0000FF"/>
        </w:rPr>
        <w:t>新</w:t>
      </w:r>
      <w:r>
        <w:rPr>
          <w:rFonts w:hint="eastAsia" w:ascii="仿宋_GB2312"/>
          <w:color w:val="0000FF"/>
          <w:lang w:val="en-US" w:eastAsia="zh-CN"/>
        </w:rPr>
        <w:t>旧</w:t>
      </w:r>
      <w:r>
        <w:rPr>
          <w:rFonts w:ascii="仿宋_GB2312"/>
          <w:color w:val="0000FF"/>
        </w:rPr>
        <w:t>动能</w:t>
      </w:r>
      <w:r>
        <w:rPr>
          <w:rFonts w:hint="eastAsia" w:ascii="仿宋_GB2312"/>
          <w:color w:val="0000FF"/>
          <w:lang w:val="en-US" w:eastAsia="zh-CN"/>
        </w:rPr>
        <w:t>转换</w:t>
      </w:r>
      <w:r>
        <w:rPr>
          <w:rFonts w:ascii="仿宋_GB2312"/>
          <w:color w:val="0000FF"/>
        </w:rPr>
        <w:t>，</w:t>
      </w:r>
      <w:r>
        <w:rPr>
          <w:rFonts w:hint="eastAsia" w:ascii="仿宋_GB2312"/>
          <w:color w:val="0000FF"/>
          <w:lang w:val="en-US" w:eastAsia="zh-CN"/>
        </w:rPr>
        <w:t>初步</w:t>
      </w:r>
      <w:r>
        <w:rPr>
          <w:rFonts w:ascii="仿宋_GB2312"/>
          <w:color w:val="0000FF"/>
        </w:rPr>
        <w:t>构建</w:t>
      </w:r>
      <w:r>
        <w:rPr>
          <w:rFonts w:hint="eastAsia" w:ascii="仿宋_GB2312"/>
          <w:color w:val="0000FF"/>
          <w:lang w:val="en-US" w:eastAsia="zh-CN"/>
        </w:rPr>
        <w:t>形成</w:t>
      </w:r>
      <w:r>
        <w:rPr>
          <w:rFonts w:ascii="仿宋_GB2312"/>
          <w:color w:val="0000FF"/>
        </w:rPr>
        <w:t>以企业为主体、市场为导向、产学研深度融合的</w:t>
      </w:r>
      <w:r>
        <w:rPr>
          <w:rFonts w:hint="eastAsia" w:ascii="仿宋_GB2312"/>
          <w:color w:val="000000"/>
          <w:lang w:val="en-US" w:eastAsia="zh-CN"/>
        </w:rPr>
        <w:t>区域</w:t>
      </w:r>
      <w:r>
        <w:rPr>
          <w:rFonts w:ascii="仿宋_GB2312"/>
          <w:color w:val="000000"/>
        </w:rPr>
        <w:t>创新体系</w:t>
      </w:r>
      <w:r>
        <w:rPr>
          <w:rFonts w:hint="eastAsia" w:ascii="仿宋_GB2312"/>
          <w:color w:val="000000"/>
        </w:rPr>
        <w:t>。</w:t>
      </w:r>
      <w:r>
        <w:rPr>
          <w:rFonts w:hint="eastAsia" w:ascii="仿宋_GB2312"/>
          <w:color w:val="000000"/>
          <w:lang w:eastAsia="zh-CN"/>
        </w:rPr>
        <w:t>“</w:t>
      </w:r>
      <w:r>
        <w:rPr>
          <w:rFonts w:hint="eastAsia" w:ascii="仿宋_GB2312"/>
          <w:color w:val="000000"/>
          <w:lang w:val="en-US" w:eastAsia="zh-CN"/>
        </w:rPr>
        <w:t>十三五”末</w:t>
      </w:r>
      <w:r>
        <w:rPr>
          <w:rFonts w:hint="eastAsia" w:ascii="仿宋_GB2312"/>
          <w:color w:val="000000"/>
        </w:rPr>
        <w:t>全县</w:t>
      </w:r>
      <w:r>
        <w:rPr>
          <w:rFonts w:ascii="仿宋_GB2312"/>
          <w:color w:val="000000"/>
        </w:rPr>
        <w:t>规模以上</w:t>
      </w:r>
      <w:r>
        <w:rPr>
          <w:rFonts w:hint="eastAsia" w:ascii="仿宋_GB2312"/>
          <w:color w:val="000000"/>
          <w:lang w:val="en-US" w:eastAsia="zh-CN"/>
        </w:rPr>
        <w:t>工业企业</w:t>
      </w:r>
      <w:r>
        <w:rPr>
          <w:rFonts w:hint="eastAsia" w:ascii="仿宋_GB2312"/>
          <w:color w:val="0000FF"/>
        </w:rPr>
        <w:t>新产品产值率达56.4%</w:t>
      </w:r>
      <w:r>
        <w:rPr>
          <w:rFonts w:hint="eastAsia" w:ascii="仿宋_GB2312"/>
          <w:color w:val="0000FF"/>
          <w:lang w:eastAsia="zh-CN"/>
        </w:rPr>
        <w:t>，</w:t>
      </w:r>
      <w:r>
        <w:rPr>
          <w:rFonts w:hint="eastAsia" w:ascii="仿宋_GB2312"/>
          <w:color w:val="0000FF"/>
          <w:lang w:val="en-US" w:eastAsia="zh-CN"/>
        </w:rPr>
        <w:t>比“十二五”末提高</w:t>
      </w:r>
      <w:r>
        <w:rPr>
          <w:rFonts w:hint="eastAsia" w:ascii="仿宋_GB2312"/>
          <w:color w:val="000000"/>
        </w:rPr>
        <w:t>。</w:t>
      </w:r>
      <w:r>
        <w:rPr>
          <w:rFonts w:hint="eastAsia" w:ascii="仿宋_GB2312"/>
          <w:b/>
          <w:bCs/>
          <w:color w:val="000000"/>
        </w:rPr>
        <w:t>创新载体发展壮大。</w:t>
      </w:r>
      <w:r>
        <w:rPr>
          <w:rFonts w:hint="eastAsia" w:ascii="仿宋_GB2312"/>
          <w:color w:val="0000FF"/>
          <w:lang w:val="en-US" w:eastAsia="zh-CN"/>
        </w:rPr>
        <w:t>“十三五”期间全县累计新增国家</w:t>
      </w:r>
      <w:r>
        <w:rPr>
          <w:rFonts w:hint="eastAsia" w:ascii="仿宋_GB2312"/>
          <w:color w:val="0000FF"/>
        </w:rPr>
        <w:t>高新技术企业</w:t>
      </w:r>
      <w:r>
        <w:rPr>
          <w:rFonts w:hint="eastAsia" w:ascii="仿宋_GB2312"/>
          <w:color w:val="0000FF"/>
          <w:lang w:val="en-US" w:eastAsia="zh-CN"/>
        </w:rPr>
        <w:t>33家、省科技型中小企业10</w:t>
      </w:r>
      <w:r>
        <w:rPr>
          <w:rFonts w:hint="eastAsia" w:ascii="仿宋_GB2312"/>
          <w:color w:val="000000"/>
          <w:lang w:val="en-US" w:eastAsia="zh-CN"/>
        </w:rPr>
        <w:t>0家</w:t>
      </w:r>
      <w:r>
        <w:rPr>
          <w:rFonts w:hint="eastAsia" w:ascii="仿宋_GB2312"/>
          <w:color w:val="0000FF"/>
          <w:lang w:val="en-US" w:eastAsia="zh-CN"/>
        </w:rPr>
        <w:t>、</w:t>
      </w:r>
      <w:r>
        <w:rPr>
          <w:rFonts w:hint="eastAsia" w:ascii="仿宋_GB2312"/>
          <w:color w:val="000000"/>
          <w:lang w:val="en-US" w:eastAsia="zh-CN"/>
        </w:rPr>
        <w:t>省级高新技术企业研发中心8家</w:t>
      </w:r>
      <w:r>
        <w:rPr>
          <w:rFonts w:hint="eastAsia" w:ascii="仿宋_GB2312"/>
          <w:color w:val="0000FF"/>
          <w:lang w:val="en-US" w:eastAsia="zh-CN"/>
        </w:rPr>
        <w:t>、</w:t>
      </w:r>
      <w:r>
        <w:rPr>
          <w:rFonts w:hint="eastAsia" w:ascii="仿宋_GB2312"/>
          <w:color w:val="000000"/>
        </w:rPr>
        <w:t>省级企业研究院</w:t>
      </w:r>
      <w:r>
        <w:rPr>
          <w:rFonts w:hint="eastAsia" w:ascii="仿宋_GB2312"/>
          <w:color w:val="000000"/>
          <w:lang w:val="en-US" w:eastAsia="zh-CN"/>
        </w:rPr>
        <w:t>3家。</w:t>
      </w:r>
      <w:r>
        <w:rPr>
          <w:rFonts w:hint="eastAsia" w:ascii="仿宋_GB2312"/>
          <w:color w:val="000000"/>
        </w:rPr>
        <w:t>2020年创建浙江省省级青田鞋产业创新服务综合体，以技术创新为手段，解决产业发展关键核心和共性技术难题，加快实现产业高质量绿色发展。</w:t>
      </w:r>
      <w:r>
        <w:rPr>
          <w:rFonts w:hint="eastAsia" w:ascii="仿宋_GB2312"/>
          <w:b/>
          <w:bCs/>
          <w:color w:val="000000"/>
        </w:rPr>
        <w:t>创新成果转化有力。</w:t>
      </w:r>
      <w:r>
        <w:rPr>
          <w:rFonts w:hint="eastAsia" w:ascii="仿宋_GB2312"/>
          <w:color w:val="000000"/>
        </w:rPr>
        <w:t>青田持续加大科技和技术创新力度，加</w:t>
      </w:r>
      <w:r>
        <w:rPr>
          <w:rFonts w:hint="eastAsia" w:ascii="仿宋_GB2312"/>
          <w:color w:val="000000"/>
          <w:lang w:eastAsia="zh-Hans"/>
        </w:rPr>
        <w:t>强</w:t>
      </w:r>
      <w:r>
        <w:rPr>
          <w:rFonts w:hint="eastAsia" w:ascii="仿宋_GB2312"/>
          <w:color w:val="000000"/>
        </w:rPr>
        <w:t>与浙江大学、浙江工业大学、浙江工商大学等科研院所的战略合作</w:t>
      </w:r>
      <w:r>
        <w:rPr>
          <w:rFonts w:ascii="仿宋_GB2312"/>
          <w:color w:val="000000"/>
        </w:rPr>
        <w:t>，</w:t>
      </w:r>
      <w:r>
        <w:rPr>
          <w:rFonts w:hint="eastAsia" w:ascii="仿宋_GB2312"/>
          <w:color w:val="000000"/>
          <w:lang w:eastAsia="zh-Hans"/>
        </w:rPr>
        <w:t>推进科技成果转化落地</w:t>
      </w:r>
      <w:r>
        <w:rPr>
          <w:rFonts w:ascii="仿宋_GB2312"/>
          <w:color w:val="000000"/>
        </w:rPr>
        <w:t>。</w:t>
      </w:r>
      <w:r>
        <w:rPr>
          <w:rFonts w:hint="eastAsia" w:ascii="仿宋_GB2312"/>
          <w:color w:val="0000FF"/>
          <w:lang w:val="en-US" w:eastAsia="zh-CN"/>
        </w:rPr>
        <w:t>“十三五”末</w:t>
      </w:r>
      <w:r>
        <w:rPr>
          <w:rFonts w:ascii="仿宋_GB2312"/>
          <w:color w:val="000000"/>
          <w:lang w:eastAsia="zh-Hans"/>
        </w:rPr>
        <w:t>，</w:t>
      </w:r>
      <w:r>
        <w:rPr>
          <w:rFonts w:hint="eastAsia" w:ascii="仿宋_GB2312"/>
          <w:color w:val="000000"/>
        </w:rPr>
        <w:t>全县制造业企业</w:t>
      </w:r>
      <w:r>
        <w:rPr>
          <w:rFonts w:hint="eastAsia" w:ascii="仿宋_GB2312"/>
          <w:color w:val="000000"/>
          <w:lang w:val="en-US" w:eastAsia="zh-CN"/>
        </w:rPr>
        <w:t>拥有</w:t>
      </w:r>
      <w:r>
        <w:rPr>
          <w:rFonts w:hint="eastAsia" w:ascii="仿宋_GB2312"/>
          <w:color w:val="000000"/>
        </w:rPr>
        <w:t>专利2241件（其中外观专利1191件</w:t>
      </w:r>
      <w:r>
        <w:rPr>
          <w:rFonts w:ascii="仿宋_GB2312"/>
          <w:color w:val="000000"/>
        </w:rPr>
        <w:t>、</w:t>
      </w:r>
      <w:r>
        <w:rPr>
          <w:rFonts w:hint="eastAsia" w:ascii="仿宋_GB2312"/>
          <w:color w:val="000000"/>
        </w:rPr>
        <w:t>实用新型专利847件</w:t>
      </w:r>
      <w:r>
        <w:rPr>
          <w:rFonts w:ascii="仿宋_GB2312"/>
          <w:color w:val="000000"/>
        </w:rPr>
        <w:t>、</w:t>
      </w:r>
      <w:r>
        <w:rPr>
          <w:rFonts w:hint="eastAsia" w:ascii="仿宋_GB2312"/>
          <w:color w:val="000000"/>
        </w:rPr>
        <w:t>发明专利1521件</w:t>
      </w:r>
      <w:r>
        <w:rPr>
          <w:rFonts w:ascii="仿宋_GB2312"/>
          <w:color w:val="000000"/>
        </w:rPr>
        <w:t>、</w:t>
      </w:r>
      <w:r>
        <w:rPr>
          <w:rFonts w:hint="eastAsia" w:ascii="仿宋_GB2312"/>
          <w:color w:val="000000"/>
        </w:rPr>
        <w:t>授权专利52件）</w:t>
      </w:r>
      <w:r>
        <w:rPr>
          <w:rFonts w:hint="eastAsia" w:ascii="仿宋_GB2312"/>
          <w:color w:val="000000"/>
          <w:lang w:eastAsia="zh-CN"/>
        </w:rPr>
        <w:t>，</w:t>
      </w:r>
      <w:r>
        <w:rPr>
          <w:rFonts w:hint="eastAsia" w:ascii="仿宋_GB2312"/>
          <w:color w:val="000000"/>
        </w:rPr>
        <w:t>商标注册达2187件，软件注册权7项。</w:t>
      </w:r>
    </w:p>
    <w:p>
      <w:pPr>
        <w:pStyle w:val="38"/>
        <w:spacing w:line="560" w:lineRule="exact"/>
        <w:rPr>
          <w:rFonts w:ascii="仿宋_GB2312"/>
          <w:color w:val="000000"/>
        </w:rPr>
      </w:pPr>
      <w:r>
        <w:rPr>
          <w:rFonts w:hint="eastAsia" w:ascii="仿宋_GB2312"/>
          <w:b/>
          <w:bCs/>
          <w:color w:val="000000"/>
        </w:rPr>
        <w:t>（5）数字赋能传统制造。</w:t>
      </w:r>
      <w:r>
        <w:rPr>
          <w:rFonts w:hint="eastAsia" w:ascii="仿宋_GB2312"/>
          <w:color w:val="000000"/>
        </w:rPr>
        <w:t>青田大力实施“互联网+”行动计划，推进工艺装备、生产过程、终端产品及生产运维的数字化改造，引导传统产业朝低耗低排、技术先进方向发展，改变高投入、高消耗、高污染、低效益的发展方式。鼓励企业发挥引导、示范作用，先行推进行业两化深度融合，推动信息技术在各行业门类的深入应用，提升行业整体信息技术的应用水平。</w:t>
      </w:r>
      <w:r>
        <w:rPr>
          <w:rFonts w:hint="eastAsia" w:ascii="仿宋_GB2312"/>
          <w:b/>
          <w:bCs/>
          <w:color w:val="000000"/>
        </w:rPr>
        <w:t>装备制造产业</w:t>
      </w:r>
      <w:r>
        <w:rPr>
          <w:rFonts w:hint="eastAsia" w:ascii="仿宋_GB2312"/>
          <w:color w:val="000000"/>
        </w:rPr>
        <w:t>以超达铸造、绿水分离设备企业为龙头，重点提高行业协同设计能力和配套能力，加快开发、生产智能装备；</w:t>
      </w:r>
      <w:r>
        <w:rPr>
          <w:rFonts w:hint="eastAsia" w:ascii="仿宋_GB2312"/>
          <w:b/>
          <w:bCs/>
          <w:color w:val="000000"/>
        </w:rPr>
        <w:t>鞋革产业</w:t>
      </w:r>
      <w:r>
        <w:rPr>
          <w:rFonts w:hint="eastAsia" w:ascii="仿宋_GB2312"/>
          <w:color w:val="000000"/>
        </w:rPr>
        <w:t>以意尔康、名典、起步等为示范，加快主要耗能设备和工艺流程的智能化改造；</w:t>
      </w:r>
      <w:r>
        <w:rPr>
          <w:rFonts w:hint="eastAsia" w:ascii="仿宋_GB2312"/>
          <w:b/>
          <w:bCs/>
          <w:color w:val="000000"/>
        </w:rPr>
        <w:t>石雕产业</w:t>
      </w:r>
      <w:r>
        <w:rPr>
          <w:rFonts w:hint="eastAsia" w:ascii="仿宋_GB2312"/>
          <w:color w:val="000000"/>
        </w:rPr>
        <w:t>以青田石雕艺术品有限公司、青田县石雕厂集团、鑫鸿钼业等为示范，充分应用3D快速成型制造工艺，实现传统产业改造升级；</w:t>
      </w:r>
      <w:r>
        <w:rPr>
          <w:rFonts w:hint="eastAsia" w:ascii="仿宋_GB2312"/>
          <w:b/>
          <w:bCs/>
          <w:color w:val="000000"/>
        </w:rPr>
        <w:t>金属加工产业</w:t>
      </w:r>
      <w:r>
        <w:rPr>
          <w:rFonts w:hint="eastAsia" w:ascii="仿宋_GB2312"/>
          <w:color w:val="000000"/>
        </w:rPr>
        <w:t>以青山钢铁、宏庆祥铜业等为示范，加快建立生产过程状况监控、质量监控、快速检测系统，实现全业务流信息化。青田以数字赋能推动一批传统产业向集群化、数字化、服务化、品质化、绿色化发展</w:t>
      </w:r>
      <w:r>
        <w:rPr>
          <w:rFonts w:hint="eastAsia" w:ascii="仿宋_GB2312"/>
          <w:color w:val="000000"/>
          <w:lang w:eastAsia="zh-Hans"/>
        </w:rPr>
        <w:t>转变</w:t>
      </w:r>
      <w:r>
        <w:rPr>
          <w:rFonts w:ascii="仿宋_GB2312"/>
          <w:color w:val="000000"/>
          <w:lang w:eastAsia="zh-Hans"/>
        </w:rPr>
        <w:t>，</w:t>
      </w:r>
      <w:r>
        <w:rPr>
          <w:rFonts w:hint="eastAsia" w:ascii="仿宋_GB2312"/>
          <w:color w:val="000000"/>
          <w:lang w:eastAsia="zh-Hans"/>
        </w:rPr>
        <w:t>促进</w:t>
      </w:r>
      <w:r>
        <w:rPr>
          <w:rFonts w:hint="eastAsia" w:ascii="仿宋_GB2312"/>
          <w:color w:val="000000"/>
        </w:rPr>
        <w:t>产业链协同创新迭代升级，形成一批具有行业带动作用的智能制造企业，提高行业整体的技术装备水平和产品竞争力。</w:t>
      </w:r>
    </w:p>
    <w:p>
      <w:pPr>
        <w:pStyle w:val="38"/>
        <w:spacing w:line="560" w:lineRule="exact"/>
        <w:rPr>
          <w:rFonts w:hint="eastAsia" w:ascii="仿宋_GB2312" w:eastAsia="仿宋_GB2312"/>
          <w:color w:val="000000"/>
          <w:lang w:val="en-US" w:eastAsia="zh-CN"/>
        </w:rPr>
      </w:pPr>
      <w:r>
        <w:rPr>
          <w:rFonts w:hint="eastAsia" w:ascii="仿宋_GB2312"/>
          <w:b/>
          <w:bCs/>
          <w:color w:val="000000"/>
        </w:rPr>
        <w:t>（6）绿色</w:t>
      </w:r>
      <w:r>
        <w:rPr>
          <w:rFonts w:hint="eastAsia" w:ascii="仿宋_GB2312"/>
          <w:b/>
          <w:bCs/>
          <w:color w:val="000000"/>
          <w:lang w:val="en-US" w:eastAsia="zh-CN"/>
        </w:rPr>
        <w:t>集约</w:t>
      </w:r>
      <w:r>
        <w:rPr>
          <w:rFonts w:hint="eastAsia" w:ascii="仿宋_GB2312"/>
          <w:b/>
          <w:bCs/>
          <w:color w:val="000000"/>
        </w:rPr>
        <w:t>发展卓有成效。</w:t>
      </w:r>
      <w:r>
        <w:rPr>
          <w:rFonts w:hint="eastAsia" w:ascii="仿宋_GB2312"/>
          <w:b/>
          <w:bCs/>
          <w:color w:val="0000FF"/>
          <w:lang w:val="en-US" w:eastAsia="zh-CN"/>
        </w:rPr>
        <w:t>推进</w:t>
      </w:r>
      <w:r>
        <w:rPr>
          <w:rFonts w:hint="eastAsia" w:ascii="仿宋_GB2312"/>
          <w:b/>
          <w:bCs/>
          <w:color w:val="0000FF"/>
        </w:rPr>
        <w:t>绿色</w:t>
      </w:r>
      <w:r>
        <w:rPr>
          <w:rFonts w:hint="eastAsia" w:ascii="仿宋_GB2312"/>
          <w:b/>
          <w:bCs/>
          <w:color w:val="0000FF"/>
          <w:lang w:val="en-US" w:eastAsia="zh-CN"/>
        </w:rPr>
        <w:t>低碳发展</w:t>
      </w:r>
      <w:r>
        <w:rPr>
          <w:rFonts w:hint="eastAsia" w:ascii="仿宋_GB2312"/>
          <w:color w:val="0000FF"/>
          <w:lang w:eastAsia="zh-CN"/>
        </w:rPr>
        <w:t>，</w:t>
      </w:r>
      <w:r>
        <w:rPr>
          <w:rFonts w:hint="eastAsia" w:ascii="仿宋_GB2312"/>
          <w:color w:val="0000FF"/>
        </w:rPr>
        <w:t>推动建立低碳技术创新和成果转化体系，培育低碳产业链，大力发展绿色能源产业，</w:t>
      </w:r>
      <w:r>
        <w:rPr>
          <w:rFonts w:hint="eastAsia" w:ascii="仿宋_GB2312"/>
          <w:color w:val="0000FF"/>
          <w:lang w:eastAsia="zh-CN"/>
        </w:rPr>
        <w:t>“</w:t>
      </w:r>
      <w:r>
        <w:rPr>
          <w:rFonts w:hint="eastAsia" w:ascii="仿宋_GB2312"/>
          <w:color w:val="0000FF"/>
          <w:lang w:val="en-US" w:eastAsia="zh-CN"/>
        </w:rPr>
        <w:t>十三五</w:t>
      </w:r>
      <w:r>
        <w:rPr>
          <w:rFonts w:hint="eastAsia" w:ascii="仿宋_GB2312"/>
          <w:color w:val="0000FF"/>
          <w:lang w:eastAsia="zh-CN"/>
        </w:rPr>
        <w:t>”</w:t>
      </w:r>
      <w:r>
        <w:rPr>
          <w:rFonts w:hint="eastAsia" w:ascii="仿宋_GB2312"/>
          <w:color w:val="0000FF"/>
          <w:lang w:val="en-US" w:eastAsia="zh-CN"/>
        </w:rPr>
        <w:t>期间</w:t>
      </w:r>
      <w:r>
        <w:rPr>
          <w:rFonts w:hint="eastAsia" w:ascii="仿宋_GB2312"/>
          <w:color w:val="0000FF"/>
        </w:rPr>
        <w:t>工业有机废气治理</w:t>
      </w:r>
      <w:r>
        <w:rPr>
          <w:rFonts w:hint="eastAsia" w:ascii="仿宋_GB2312"/>
          <w:color w:val="0000FF"/>
          <w:lang w:eastAsia="zh-CN"/>
        </w:rPr>
        <w:t>、节能减排</w:t>
      </w:r>
      <w:r>
        <w:rPr>
          <w:rFonts w:hint="eastAsia" w:ascii="仿宋_GB2312"/>
          <w:color w:val="0000FF"/>
          <w:lang w:val="en-US" w:eastAsia="zh-CN"/>
        </w:rPr>
        <w:t>等</w:t>
      </w:r>
      <w:r>
        <w:rPr>
          <w:rFonts w:hint="eastAsia" w:ascii="仿宋_GB2312"/>
          <w:color w:val="0000FF"/>
          <w:lang w:eastAsia="zh-CN"/>
        </w:rPr>
        <w:t>取得</w:t>
      </w:r>
      <w:r>
        <w:rPr>
          <w:rFonts w:hint="eastAsia" w:ascii="仿宋_GB2312"/>
          <w:color w:val="0000FF"/>
          <w:lang w:val="en-US" w:eastAsia="zh-CN"/>
        </w:rPr>
        <w:t>积极</w:t>
      </w:r>
      <w:r>
        <w:rPr>
          <w:rFonts w:hint="eastAsia" w:ascii="仿宋_GB2312"/>
          <w:color w:val="0000FF"/>
          <w:lang w:eastAsia="zh-CN"/>
        </w:rPr>
        <w:t>成效，</w:t>
      </w:r>
      <w:r>
        <w:rPr>
          <w:rFonts w:hint="eastAsia" w:ascii="仿宋_GB2312"/>
          <w:color w:val="0000FF"/>
        </w:rPr>
        <w:t>规模以上工业企业能源消费</w:t>
      </w:r>
      <w:r>
        <w:rPr>
          <w:rFonts w:hint="eastAsia" w:ascii="仿宋_GB2312"/>
          <w:color w:val="0000FF"/>
          <w:lang w:val="en-US" w:eastAsia="zh-CN"/>
        </w:rPr>
        <w:t>保持低幅增长，</w:t>
      </w:r>
      <w:r>
        <w:rPr>
          <w:rFonts w:hint="eastAsia" w:ascii="仿宋_GB2312"/>
          <w:color w:val="0000FF"/>
        </w:rPr>
        <w:t>单位工业增加值能耗</w:t>
      </w:r>
      <w:r>
        <w:rPr>
          <w:rFonts w:hint="eastAsia" w:ascii="仿宋_GB2312"/>
          <w:color w:val="0000FF"/>
          <w:lang w:val="en-US" w:eastAsia="zh-CN"/>
        </w:rPr>
        <w:t>不断下降。</w:t>
      </w:r>
      <w:r>
        <w:rPr>
          <w:rFonts w:hint="eastAsia" w:ascii="仿宋_GB2312"/>
          <w:b/>
          <w:bCs/>
          <w:color w:val="0000FF"/>
          <w:lang w:val="en-US" w:eastAsia="zh-CN"/>
        </w:rPr>
        <w:t>深化集聚集约发展，</w:t>
      </w:r>
      <w:r>
        <w:rPr>
          <w:rFonts w:hint="eastAsia" w:ascii="仿宋_GB2312"/>
          <w:color w:val="0000FF"/>
          <w:lang w:val="en-US" w:eastAsia="zh-CN"/>
        </w:rPr>
        <w:t>大力度开展低效企业改造，</w:t>
      </w:r>
      <w:r>
        <w:rPr>
          <w:rFonts w:hint="eastAsia" w:ascii="仿宋_GB2312"/>
          <w:color w:val="0000FF"/>
        </w:rPr>
        <w:t>“十三五”期间，全县</w:t>
      </w:r>
      <w:r>
        <w:rPr>
          <w:rFonts w:ascii="Times New Roman" w:hAnsi="Times New Roman" w:eastAsia="仿宋_GB2312" w:cs="Times New Roman"/>
          <w:color w:val="0000FF"/>
          <w:sz w:val="32"/>
          <w:szCs w:val="32"/>
        </w:rPr>
        <w:t>累计盘活闲置土地1137亩、闲置厂房72万平方米，连续3年获评“腾笼换鸟”省级先进单位</w:t>
      </w:r>
      <w:r>
        <w:rPr>
          <w:rFonts w:hint="eastAsia" w:ascii="仿宋_GB2312"/>
          <w:color w:val="0000FF"/>
        </w:rPr>
        <w:t>。</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2、青田成为生态工业发展主战场</w:t>
      </w:r>
    </w:p>
    <w:p>
      <w:pPr>
        <w:pStyle w:val="38"/>
        <w:spacing w:line="560" w:lineRule="exact"/>
        <w:rPr>
          <w:rFonts w:ascii="仿宋_GB2312"/>
          <w:color w:val="000000"/>
        </w:rPr>
      </w:pPr>
      <w:r>
        <w:rPr>
          <w:rFonts w:hint="eastAsia" w:ascii="仿宋_GB2312"/>
          <w:b/>
          <w:bCs/>
          <w:color w:val="000000"/>
        </w:rPr>
        <w:t>（1）成为全市经济发展主战场。</w:t>
      </w:r>
      <w:r>
        <w:rPr>
          <w:rFonts w:hint="eastAsia" w:ascii="仿宋_GB2312"/>
          <w:color w:val="000000"/>
        </w:rPr>
        <w:t>青田坚持“跨山统筹”集聚发展的战略思想，纳入全市“一带三区”战略部署。加快丽水南向通道建设，积极吸引温州都市区产业、金融、人才、创新等发展要素，加快发展生态产业，重点承接金义都市区和温州都市区产业转移，积极招引高端装备制造等产业，促进主导产业规模集聚。发展时尚鞋服、高端不锈钢、精密阀门、新兴产业等主导产业，深化与温州生态产业合作，努力构建生态工业高质量发展理念践行地和绿色发展标杆地, 奋力建设“浙江‘华侨经济文化’和丽水‘两个较快增长’重要窗口”。</w:t>
      </w:r>
    </w:p>
    <w:p>
      <w:pPr>
        <w:pStyle w:val="38"/>
        <w:spacing w:line="560" w:lineRule="exact"/>
        <w:rPr>
          <w:rFonts w:ascii="仿宋_GB2312"/>
          <w:color w:val="000000"/>
        </w:rPr>
      </w:pPr>
      <w:r>
        <w:rPr>
          <w:rFonts w:hint="eastAsia" w:ascii="仿宋_GB2312"/>
          <w:b/>
          <w:bCs/>
          <w:color w:val="000000"/>
        </w:rPr>
        <w:t>（2）肩负“求是跨越”使命担当。</w:t>
      </w:r>
      <w:r>
        <w:rPr>
          <w:rFonts w:hint="eastAsia" w:ascii="仿宋_GB2312"/>
          <w:color w:val="000000"/>
        </w:rPr>
        <w:t>青田作为丽水市域“一带三区”发展新格局中的经济主战场，自觉扛起“求是跨越”的使命当担，奋力争创山区加快跨越式发展先行区</w:t>
      </w:r>
      <w:r>
        <w:rPr>
          <w:rFonts w:hint="eastAsia" w:ascii="仿宋_GB2312"/>
          <w:color w:val="000000"/>
          <w:vertAlign w:val="superscript"/>
        </w:rPr>
        <w:footnoteReference w:id="0"/>
      </w:r>
      <w:r>
        <w:rPr>
          <w:rFonts w:hint="eastAsia" w:ascii="仿宋_GB2312"/>
          <w:color w:val="000000"/>
        </w:rPr>
        <w:t>，秉承“求是跨越”总体原则，实施千亿产值、千亿项目“双千工程”硬核举措，着力构建“绿色、循环、低碳”的生态工业体系，为做全市绿色发展探路者中的排头兵和模范生中的优等生做出应有的贡献。</w:t>
      </w:r>
    </w:p>
    <w:p>
      <w:pPr>
        <w:pStyle w:val="38"/>
        <w:spacing w:line="560" w:lineRule="exact"/>
        <w:rPr>
          <w:rFonts w:ascii="仿宋_GB2312"/>
          <w:color w:val="000000"/>
        </w:rPr>
      </w:pPr>
      <w:r>
        <w:rPr>
          <w:rFonts w:hint="eastAsia" w:ascii="仿宋_GB2312"/>
          <w:b/>
          <w:bCs/>
          <w:color w:val="000000"/>
        </w:rPr>
        <w:t>（3）聚焦生态工业新跨越。</w:t>
      </w:r>
      <w:r>
        <w:rPr>
          <w:rFonts w:hint="eastAsia" w:ascii="仿宋_GB2312"/>
          <w:color w:val="000000"/>
          <w:lang w:eastAsia="zh-Hans"/>
        </w:rPr>
        <w:t>青田</w:t>
      </w:r>
      <w:r>
        <w:rPr>
          <w:rFonts w:hint="eastAsia" w:ascii="仿宋_GB2312"/>
          <w:color w:val="000000"/>
        </w:rPr>
        <w:t>以平台“二次创业”为抓手，通过产业补链强链、科技创新赋能、招大引强助力，拓展“万亩千亿”平台，努力成为丽水市生态工业发展排头兵，带动全市生态工业跨越发展。</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3、生态工业发展氛围浓厚</w:t>
      </w:r>
    </w:p>
    <w:p>
      <w:pPr>
        <w:pStyle w:val="38"/>
        <w:spacing w:line="560" w:lineRule="exact"/>
        <w:rPr>
          <w:rFonts w:ascii="仿宋_GB2312"/>
          <w:color w:val="000000"/>
        </w:rPr>
      </w:pPr>
      <w:r>
        <w:rPr>
          <w:rFonts w:hint="eastAsia" w:ascii="仿宋_GB2312"/>
          <w:b/>
          <w:bCs/>
          <w:color w:val="000000"/>
        </w:rPr>
        <w:t>（1）政策出台引发展。</w:t>
      </w:r>
      <w:r>
        <w:rPr>
          <w:rFonts w:hint="eastAsia" w:ascii="仿宋_GB2312"/>
          <w:color w:val="000000"/>
        </w:rPr>
        <w:t>青田坚持“绿水青山就是金山银山”指导思想，扎实推进传统制造业改造提升、生态工业高质量发展等工作，制定</w:t>
      </w:r>
      <w:r>
        <w:rPr>
          <w:rFonts w:hint="eastAsia" w:ascii="仿宋_GB2312"/>
          <w:color w:val="0000FF"/>
        </w:rPr>
        <w:t>《青田县生态工业发展</w:t>
      </w:r>
      <w:r>
        <w:rPr>
          <w:rFonts w:hint="eastAsia" w:ascii="仿宋_GB2312"/>
          <w:color w:val="0000FF"/>
          <w:lang w:eastAsia="zh-CN"/>
        </w:rPr>
        <w:t>“</w:t>
      </w:r>
      <w:r>
        <w:rPr>
          <w:rFonts w:hint="eastAsia" w:ascii="仿宋_GB2312"/>
          <w:color w:val="0000FF"/>
        </w:rPr>
        <w:t>十三五</w:t>
      </w:r>
      <w:r>
        <w:rPr>
          <w:rFonts w:hint="eastAsia" w:ascii="仿宋_GB2312"/>
          <w:color w:val="0000FF"/>
          <w:lang w:eastAsia="zh-CN"/>
        </w:rPr>
        <w:t>”</w:t>
      </w:r>
      <w:r>
        <w:rPr>
          <w:rFonts w:hint="eastAsia" w:ascii="仿宋_GB2312"/>
          <w:color w:val="0000FF"/>
        </w:rPr>
        <w:t>规划》、《青田县克难题补短板合力扶工行动方案》《</w:t>
      </w:r>
      <w:r>
        <w:rPr>
          <w:rFonts w:hint="eastAsia" w:ascii="仿宋_GB2312"/>
          <w:color w:val="0000FF"/>
          <w:lang w:eastAsia="zh-CN"/>
        </w:rPr>
        <w:t>“</w:t>
      </w:r>
      <w:r>
        <w:rPr>
          <w:rFonts w:hint="eastAsia" w:ascii="仿宋_GB2312"/>
          <w:color w:val="0000FF"/>
        </w:rPr>
        <w:t>55211</w:t>
      </w:r>
      <w:r>
        <w:rPr>
          <w:rFonts w:hint="eastAsia" w:ascii="仿宋_GB2312"/>
          <w:color w:val="0000FF"/>
          <w:lang w:eastAsia="zh-CN"/>
        </w:rPr>
        <w:t>”</w:t>
      </w:r>
      <w:r>
        <w:rPr>
          <w:rFonts w:hint="eastAsia" w:ascii="仿宋_GB2312"/>
          <w:color w:val="0000FF"/>
        </w:rPr>
        <w:t>五年行动计划工作方案》《青田县人民政府关于深化“亩均论英雄”改革的实施意见》《关于加快生态工业发展的补充意见》《青田县全面改造提升传统制造业实施方案》《青田推动生态工业高质量绿色发展五年倍增实施方案》</w:t>
      </w:r>
      <w:r>
        <w:rPr>
          <w:rFonts w:hint="eastAsia" w:ascii="仿宋_GB2312"/>
          <w:color w:val="000000"/>
        </w:rPr>
        <w:t>等一系列具有针对性、可操作性的政策方案，持续构建完善生态工业政策体系，政策</w:t>
      </w:r>
      <w:r>
        <w:rPr>
          <w:rFonts w:hint="eastAsia" w:ascii="仿宋_GB2312"/>
          <w:color w:val="000000"/>
          <w:lang w:eastAsia="zh-Hans"/>
        </w:rPr>
        <w:t>导向</w:t>
      </w:r>
      <w:r>
        <w:rPr>
          <w:rFonts w:hint="eastAsia" w:ascii="仿宋_GB2312"/>
          <w:color w:val="000000"/>
        </w:rPr>
        <w:t>日趋优化、政策杠杆效率进一步提高。</w:t>
      </w:r>
    </w:p>
    <w:p>
      <w:pPr>
        <w:pStyle w:val="38"/>
        <w:spacing w:line="560" w:lineRule="exact"/>
        <w:rPr>
          <w:rFonts w:ascii="仿宋_GB2312"/>
          <w:color w:val="000000"/>
        </w:rPr>
      </w:pPr>
      <w:r>
        <w:rPr>
          <w:rFonts w:hint="eastAsia" w:ascii="仿宋_GB2312"/>
          <w:b/>
          <w:bCs/>
          <w:color w:val="000000"/>
        </w:rPr>
        <w:t>（2）真抓实干促落实。</w:t>
      </w:r>
      <w:r>
        <w:rPr>
          <w:rFonts w:hint="eastAsia" w:ascii="仿宋_GB2312"/>
          <w:color w:val="000000"/>
        </w:rPr>
        <w:t>青田县委县政府深入贯彻落实中央、省、市经济工作会议和市“两山”发展大会精神，始终遵循“绿水青山就是金山银山”的发展理念，围绕青田工业发展现状以及存在问题，多次召开全县生态工业发展会议、全县生态工业座谈会、青田县中部崛起发展讨论会、青田县人才科技暨生态工业大会等专项会议，组织专项调研与座谈，吸取社会各界对于青田生态工业发展的建议，进一步认清形势，坚定信心，明确目标任务，增强推进生态工业高质量绿色发展的紧迫感和责任感。</w:t>
      </w:r>
    </w:p>
    <w:p>
      <w:pPr>
        <w:pStyle w:val="4"/>
        <w:spacing w:line="560" w:lineRule="exact"/>
        <w:ind w:firstLine="602"/>
        <w:contextualSpacing/>
        <w:rPr>
          <w:rFonts w:hint="default" w:ascii="楷体_GB2312" w:eastAsia="楷体_GB2312"/>
          <w:color w:val="000000"/>
          <w:lang w:val="en-US"/>
        </w:rPr>
      </w:pPr>
      <w:bookmarkStart w:id="5" w:name="_Toc62928267"/>
      <w:bookmarkStart w:id="6" w:name="_Toc7917"/>
      <w:r>
        <w:rPr>
          <w:rFonts w:hint="eastAsia" w:ascii="楷体_GB2312" w:eastAsia="楷体_GB2312"/>
          <w:color w:val="000000"/>
        </w:rPr>
        <w:t>（二）</w:t>
      </w:r>
      <w:r>
        <w:rPr>
          <w:rFonts w:hint="eastAsia" w:ascii="楷体_GB2312" w:eastAsia="楷体_GB2312"/>
          <w:color w:val="000000"/>
          <w:lang w:eastAsia="zh-CN"/>
        </w:rPr>
        <w:t>“</w:t>
      </w:r>
      <w:r>
        <w:rPr>
          <w:rFonts w:hint="eastAsia" w:ascii="楷体_GB2312" w:eastAsia="楷体_GB2312"/>
          <w:color w:val="000000"/>
          <w:lang w:val="en-US" w:eastAsia="zh-CN"/>
        </w:rPr>
        <w:t>十四五</w:t>
      </w:r>
      <w:r>
        <w:rPr>
          <w:rFonts w:hint="eastAsia" w:ascii="楷体_GB2312" w:eastAsia="楷体_GB2312"/>
          <w:color w:val="000000"/>
          <w:lang w:eastAsia="zh-CN"/>
        </w:rPr>
        <w:t>”</w:t>
      </w:r>
      <w:bookmarkEnd w:id="5"/>
      <w:r>
        <w:rPr>
          <w:rFonts w:hint="eastAsia" w:ascii="楷体_GB2312" w:eastAsia="楷体_GB2312"/>
          <w:color w:val="000000"/>
          <w:lang w:val="en-US" w:eastAsia="zh-CN"/>
        </w:rPr>
        <w:t>问题挑战</w:t>
      </w:r>
      <w:bookmarkEnd w:id="6"/>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由于地理位置、山区地貌等原因，我县传统产业比重较高，实现山区跨越式高质量发展需重点解决以下问题。</w:t>
      </w:r>
    </w:p>
    <w:p>
      <w:pPr>
        <w:pStyle w:val="38"/>
        <w:spacing w:line="560" w:lineRule="exact"/>
        <w:rPr>
          <w:rFonts w:ascii="仿宋_GB2312"/>
          <w:color w:val="000000"/>
        </w:rPr>
      </w:pPr>
      <w:r>
        <w:rPr>
          <w:rFonts w:hint="eastAsia" w:ascii="仿宋_GB2312"/>
          <w:b/>
          <w:bCs/>
          <w:color w:val="000000"/>
        </w:rPr>
        <w:t>1、产业结构有待优化。</w:t>
      </w:r>
      <w:r>
        <w:rPr>
          <w:rFonts w:hint="eastAsia" w:ascii="仿宋_GB2312"/>
          <w:color w:val="000000"/>
          <w:lang w:eastAsia="zh-Hans"/>
        </w:rPr>
        <w:t>青田实施一系列举措</w:t>
      </w:r>
      <w:r>
        <w:rPr>
          <w:rFonts w:hint="eastAsia" w:ascii="仿宋_GB2312"/>
          <w:color w:val="000000"/>
          <w:lang w:eastAsia="zh-CN"/>
        </w:rPr>
        <w:t>，</w:t>
      </w:r>
      <w:r>
        <w:rPr>
          <w:rFonts w:hint="eastAsia" w:ascii="仿宋_GB2312"/>
          <w:color w:val="000000"/>
          <w:lang w:val="en-US" w:eastAsia="zh-CN"/>
        </w:rPr>
        <w:t>大力</w:t>
      </w:r>
      <w:r>
        <w:rPr>
          <w:rFonts w:hint="eastAsia" w:ascii="仿宋_GB2312"/>
          <w:color w:val="000000"/>
          <w:lang w:eastAsia="zh-Hans"/>
        </w:rPr>
        <w:t>调整优化产业结构</w:t>
      </w:r>
      <w:r>
        <w:rPr>
          <w:rFonts w:ascii="仿宋_GB2312"/>
          <w:color w:val="000000"/>
          <w:lang w:eastAsia="zh-Hans"/>
        </w:rPr>
        <w:t>，</w:t>
      </w:r>
      <w:r>
        <w:rPr>
          <w:rFonts w:hint="eastAsia" w:ascii="仿宋_GB2312"/>
          <w:color w:val="000000"/>
          <w:lang w:val="en-US" w:eastAsia="zh-CN"/>
        </w:rPr>
        <w:t>而</w:t>
      </w:r>
      <w:r>
        <w:rPr>
          <w:rFonts w:hint="eastAsia" w:ascii="仿宋_GB2312"/>
          <w:color w:val="000000"/>
          <w:lang w:eastAsia="zh-Hans"/>
        </w:rPr>
        <w:t>大多数工业企业仍属于传统产业，龙头企业数量偏少，新兴产业规模偏小、实力较弱，潜力大的中高能级企业存在断档现象。大企业吸引上下游企业少、协同发展能力弱，尚未形成块状经济的集聚效应。水电行业占比</w:t>
      </w:r>
      <w:r>
        <w:rPr>
          <w:rFonts w:hint="eastAsia" w:ascii="仿宋_GB2312"/>
          <w:color w:val="000000"/>
        </w:rPr>
        <w:t>达20%，对全县工业增加值贡献率达到62%，</w:t>
      </w:r>
      <w:r>
        <w:rPr>
          <w:rFonts w:hint="eastAsia" w:ascii="仿宋_GB2312"/>
          <w:color w:val="000000"/>
          <w:lang w:eastAsia="zh-Hans"/>
        </w:rPr>
        <w:t>然而</w:t>
      </w:r>
      <w:r>
        <w:rPr>
          <w:rFonts w:hint="eastAsia" w:ascii="仿宋_GB2312"/>
          <w:color w:val="000000"/>
        </w:rPr>
        <w:t>水电行业受天气、市场等因素影响较大，生产不稳定，同时受产品更新、产能过剩、价格下跌、市场疲软等因素的影响，难以持续带动，再加上基数和占比提高，导致</w:t>
      </w:r>
      <w:r>
        <w:rPr>
          <w:rFonts w:hint="eastAsia" w:ascii="仿宋_GB2312"/>
          <w:color w:val="000000"/>
          <w:lang w:eastAsia="zh-Hans"/>
        </w:rPr>
        <w:t>青田</w:t>
      </w:r>
      <w:r>
        <w:rPr>
          <w:rFonts w:hint="eastAsia" w:ascii="仿宋_GB2312"/>
          <w:color w:val="000000"/>
        </w:rPr>
        <w:t>工业发展出现“靠天吃饭的局面”</w:t>
      </w:r>
      <w:r>
        <w:rPr>
          <w:rFonts w:ascii="仿宋_GB2312"/>
          <w:color w:val="000000"/>
        </w:rPr>
        <w:t>。</w:t>
      </w:r>
    </w:p>
    <w:p>
      <w:pPr>
        <w:pStyle w:val="38"/>
        <w:spacing w:line="560" w:lineRule="exact"/>
        <w:rPr>
          <w:rFonts w:ascii="仿宋_GB2312"/>
          <w:color w:val="000000"/>
        </w:rPr>
      </w:pPr>
      <w:r>
        <w:rPr>
          <w:rFonts w:hint="eastAsia" w:ascii="仿宋_GB2312"/>
          <w:b/>
          <w:bCs/>
          <w:color w:val="000000"/>
        </w:rPr>
        <w:t>2、土地要素支撑不足。</w:t>
      </w:r>
      <w:r>
        <w:rPr>
          <w:rFonts w:hint="eastAsia" w:ascii="仿宋_GB2312"/>
          <w:color w:val="000000"/>
        </w:rPr>
        <w:t>青田县2477.16平方公里的土地总面积中山地和丘陵占89.7%，达到2228平方公里，可供建设的土地资源紧缺，工业发展的空间不足，已经成为制约青田工业快速发展的主要“瓶颈”。“九山半水半分田”的实际决定了可供工业经济发展的建设用地将极为有限，在所剩不多的工业用地中，土地多呈现规模小且分布较散的局面</w:t>
      </w:r>
      <w:r>
        <w:rPr>
          <w:rFonts w:ascii="仿宋_GB2312"/>
          <w:color w:val="000000"/>
        </w:rPr>
        <w:t>。</w:t>
      </w:r>
      <w:r>
        <w:rPr>
          <w:rFonts w:hint="eastAsia" w:ascii="仿宋_GB2312"/>
          <w:color w:val="000000"/>
          <w:lang w:eastAsia="zh-Hans"/>
        </w:rPr>
        <w:t>由此导致</w:t>
      </w:r>
      <w:r>
        <w:rPr>
          <w:rFonts w:ascii="仿宋_GB2312"/>
          <w:color w:val="000000"/>
          <w:lang w:eastAsia="zh-Hans"/>
        </w:rPr>
        <w:t>，</w:t>
      </w:r>
      <w:r>
        <w:rPr>
          <w:rFonts w:hint="eastAsia" w:ascii="仿宋_GB2312"/>
          <w:color w:val="000000"/>
        </w:rPr>
        <w:t>一方面大项目用地保障</w:t>
      </w:r>
      <w:r>
        <w:rPr>
          <w:rFonts w:hint="eastAsia" w:ascii="仿宋_GB2312"/>
          <w:color w:val="000000"/>
          <w:lang w:eastAsia="zh-Hans"/>
        </w:rPr>
        <w:t>难以</w:t>
      </w:r>
      <w:r>
        <w:rPr>
          <w:rFonts w:hint="eastAsia" w:ascii="仿宋_GB2312"/>
          <w:color w:val="000000"/>
        </w:rPr>
        <w:t>落实,推进整体开发建设阻力较大</w:t>
      </w:r>
      <w:r>
        <w:rPr>
          <w:rFonts w:ascii="仿宋_GB2312"/>
          <w:color w:val="000000"/>
        </w:rPr>
        <w:t>；</w:t>
      </w:r>
      <w:r>
        <w:rPr>
          <w:rFonts w:hint="eastAsia" w:ascii="仿宋_GB2312"/>
          <w:color w:val="000000"/>
        </w:rPr>
        <w:t>另一方</w:t>
      </w:r>
      <w:r>
        <w:rPr>
          <w:rFonts w:hint="eastAsia" w:ascii="仿宋_GB2312"/>
          <w:color w:val="000000"/>
          <w:lang w:eastAsia="zh-Hans"/>
        </w:rPr>
        <w:t>致使</w:t>
      </w:r>
      <w:r>
        <w:rPr>
          <w:rFonts w:hint="eastAsia" w:ascii="仿宋_GB2312"/>
          <w:color w:val="000000"/>
        </w:rPr>
        <w:t>得集群效应低，工业用地效率不高，难以形成完整的产业链，可持续发展能力不强。</w:t>
      </w:r>
    </w:p>
    <w:p>
      <w:pPr>
        <w:pStyle w:val="38"/>
        <w:spacing w:line="560" w:lineRule="exact"/>
        <w:rPr>
          <w:rFonts w:ascii="仿宋_GB2312"/>
          <w:color w:val="000000"/>
        </w:rPr>
      </w:pPr>
      <w:r>
        <w:rPr>
          <w:rFonts w:hint="eastAsia" w:ascii="仿宋_GB2312"/>
          <w:b/>
          <w:bCs/>
          <w:color w:val="000000"/>
        </w:rPr>
        <w:t>3、人才科技支撑弱。</w:t>
      </w:r>
      <w:r>
        <w:rPr>
          <w:rFonts w:hint="eastAsia" w:ascii="仿宋_GB2312"/>
          <w:color w:val="000000"/>
        </w:rPr>
        <w:t>青田低层次产业结构局面未能得到根本性的改变，高层次人才的缺乏是其中的重要原因。</w:t>
      </w:r>
      <w:r>
        <w:rPr>
          <w:rFonts w:hint="eastAsia" w:ascii="仿宋_GB2312"/>
          <w:color w:val="000000"/>
          <w:lang w:eastAsia="zh-Hans"/>
        </w:rPr>
        <w:t>全县</w:t>
      </w:r>
      <w:r>
        <w:rPr>
          <w:rFonts w:hint="eastAsia" w:ascii="仿宋_GB2312"/>
          <w:color w:val="000000"/>
        </w:rPr>
        <w:t>大部分企业</w:t>
      </w:r>
      <w:r>
        <w:rPr>
          <w:rFonts w:hint="eastAsia" w:ascii="仿宋_GB2312"/>
          <w:color w:val="000000"/>
          <w:lang w:eastAsia="zh-Hans"/>
        </w:rPr>
        <w:t>缺少</w:t>
      </w:r>
      <w:r>
        <w:rPr>
          <w:rFonts w:hint="eastAsia" w:ascii="仿宋_GB2312"/>
          <w:color w:val="000000"/>
        </w:rPr>
        <w:t>职业经理人等专业管理型人才，企业内部管理体系不健全</w:t>
      </w:r>
      <w:r>
        <w:rPr>
          <w:rFonts w:ascii="仿宋_GB2312"/>
          <w:color w:val="000000"/>
        </w:rPr>
        <w:t>。</w:t>
      </w:r>
      <w:r>
        <w:rPr>
          <w:rFonts w:hint="eastAsia" w:ascii="仿宋_GB2312"/>
          <w:color w:val="000000"/>
        </w:rPr>
        <w:t>受制于人文地理环境的局限性、城市配套服务的薄弱、人才软环境吸引力</w:t>
      </w:r>
      <w:r>
        <w:rPr>
          <w:rFonts w:hint="eastAsia" w:ascii="仿宋_GB2312"/>
          <w:color w:val="000000"/>
          <w:lang w:eastAsia="zh-Hans"/>
        </w:rPr>
        <w:t>的</w:t>
      </w:r>
      <w:r>
        <w:rPr>
          <w:rFonts w:hint="eastAsia" w:ascii="仿宋_GB2312"/>
          <w:color w:val="000000"/>
        </w:rPr>
        <w:t>不足等，导致青田工业企业</w:t>
      </w:r>
      <w:r>
        <w:rPr>
          <w:rFonts w:hint="eastAsia" w:ascii="仿宋_GB2312"/>
          <w:color w:val="000000"/>
          <w:lang w:eastAsia="zh-Hans"/>
        </w:rPr>
        <w:t>专业技术人才</w:t>
      </w:r>
      <w:r>
        <w:rPr>
          <w:rFonts w:hint="eastAsia" w:ascii="仿宋_GB2312"/>
          <w:color w:val="000000"/>
        </w:rPr>
        <w:t>流失严重。</w:t>
      </w:r>
      <w:r>
        <w:rPr>
          <w:rFonts w:hint="eastAsia" w:ascii="仿宋_GB2312"/>
          <w:color w:val="000000"/>
          <w:lang w:eastAsia="zh-Hans"/>
        </w:rPr>
        <w:t>并且</w:t>
      </w:r>
      <w:r>
        <w:rPr>
          <w:rFonts w:hint="eastAsia" w:ascii="仿宋_GB2312"/>
          <w:color w:val="000000"/>
        </w:rPr>
        <w:t>缺少高端人才</w:t>
      </w:r>
      <w:r>
        <w:rPr>
          <w:rFonts w:hint="eastAsia" w:ascii="仿宋_GB2312"/>
          <w:color w:val="000000"/>
          <w:lang w:eastAsia="zh-Hans"/>
        </w:rPr>
        <w:t>输送动能</w:t>
      </w:r>
      <w:r>
        <w:rPr>
          <w:rFonts w:hint="eastAsia" w:ascii="仿宋_GB2312"/>
          <w:color w:val="000000"/>
        </w:rPr>
        <w:t>，青田仅有一所职业技术学院，而企业要从浙江大学</w:t>
      </w:r>
      <w:r>
        <w:rPr>
          <w:rFonts w:ascii="仿宋_GB2312"/>
          <w:color w:val="000000"/>
        </w:rPr>
        <w:t>、</w:t>
      </w:r>
      <w:r>
        <w:rPr>
          <w:rFonts w:hint="eastAsia" w:ascii="仿宋_GB2312"/>
          <w:color w:val="000000"/>
          <w:lang w:eastAsia="zh-Hans"/>
        </w:rPr>
        <w:t>浙江工业大学</w:t>
      </w:r>
      <w:r>
        <w:rPr>
          <w:rFonts w:hint="eastAsia" w:ascii="仿宋_GB2312"/>
          <w:color w:val="000000"/>
        </w:rPr>
        <w:t>等全国优秀学府招聘到毕业生来到青田工作又极为困难，难以打通与高端人才衔接通道。产业发展与人才积聚没有形成良性循环，也使得青田多数企业缺少企业家战略视野和理念，生产方式、管理手段、销售模式较为落后，未能享受数字化转型的红利。</w:t>
      </w:r>
    </w:p>
    <w:p>
      <w:pPr>
        <w:pStyle w:val="38"/>
        <w:spacing w:line="560" w:lineRule="exact"/>
        <w:rPr>
          <w:rFonts w:ascii="仿宋_GB2312"/>
          <w:color w:val="000000"/>
        </w:rPr>
      </w:pPr>
      <w:r>
        <w:rPr>
          <w:rFonts w:hint="eastAsia" w:ascii="仿宋_GB2312"/>
          <w:b/>
          <w:bCs/>
          <w:color w:val="000000"/>
        </w:rPr>
        <w:t>4、产业链现代化水平低。</w:t>
      </w:r>
      <w:r>
        <w:rPr>
          <w:rFonts w:hint="eastAsia" w:ascii="仿宋_GB2312"/>
          <w:color w:val="000000"/>
        </w:rPr>
        <w:t>从</w:t>
      </w:r>
      <w:r>
        <w:rPr>
          <w:rFonts w:hint="eastAsia" w:ascii="仿宋_GB2312"/>
          <w:color w:val="000000"/>
          <w:lang w:eastAsia="zh-Hans"/>
        </w:rPr>
        <w:t>青田</w:t>
      </w:r>
      <w:r>
        <w:rPr>
          <w:rFonts w:hint="eastAsia" w:ascii="仿宋_GB2312"/>
          <w:color w:val="000000"/>
        </w:rPr>
        <w:t>产业</w:t>
      </w:r>
      <w:r>
        <w:rPr>
          <w:rFonts w:hint="eastAsia" w:ascii="仿宋_GB2312"/>
          <w:color w:val="000000"/>
          <w:lang w:eastAsia="zh-Hans"/>
        </w:rPr>
        <w:t>发展</w:t>
      </w:r>
      <w:r>
        <w:rPr>
          <w:rFonts w:hint="eastAsia" w:ascii="仿宋_GB2312"/>
          <w:color w:val="000000"/>
        </w:rPr>
        <w:t>内部来看，几大主导产业链条</w:t>
      </w:r>
      <w:r>
        <w:rPr>
          <w:rFonts w:hint="eastAsia" w:ascii="仿宋_GB2312"/>
          <w:color w:val="000000"/>
          <w:lang w:eastAsia="zh-Hans"/>
        </w:rPr>
        <w:t>较</w:t>
      </w:r>
      <w:r>
        <w:rPr>
          <w:rFonts w:hint="eastAsia" w:ascii="仿宋_GB2312"/>
          <w:color w:val="000000"/>
        </w:rPr>
        <w:t>短，产品较单一，产业链配套企业不协同，部分环节受阻，整体运转效率不高，未形成以大带小、上下联动、内外互动</w:t>
      </w:r>
      <w:r>
        <w:rPr>
          <w:rFonts w:hint="eastAsia" w:ascii="仿宋_GB2312"/>
          <w:color w:val="000000"/>
          <w:lang w:eastAsia="zh-Hans"/>
        </w:rPr>
        <w:t>发展</w:t>
      </w:r>
      <w:r>
        <w:rPr>
          <w:rFonts w:hint="eastAsia" w:ascii="仿宋_GB2312"/>
          <w:color w:val="000000"/>
        </w:rPr>
        <w:t>。如青山钢铁的生产规模已经位居全国前列，但是产业链条较短，产品依旧以棒材为主，缺少深加工以及高端钢材制造。从产业间协同来看，产业之间尚未形成上下游紧密关联的产业群，缺乏结构演进和产业升级的内在动力。如青田阀门制造产业处于全国领先水平，但多集中于阀门铸造、配套加工等，大而不强的问题比较突出，核心零部件、高端研发和市场营销等环节还很薄弱，上下游合作不紧密，协同创新少，缺乏产业链的合作和整体布局。</w:t>
      </w:r>
    </w:p>
    <w:p>
      <w:pPr>
        <w:pStyle w:val="38"/>
        <w:spacing w:line="560" w:lineRule="exact"/>
        <w:rPr>
          <w:rFonts w:hint="default" w:ascii="仿宋_GB2312" w:eastAsia="仿宋_GB2312"/>
          <w:color w:val="0000FF"/>
          <w:lang w:val="en-US" w:eastAsia="zh-CN"/>
        </w:rPr>
      </w:pPr>
      <w:r>
        <w:rPr>
          <w:rFonts w:hint="eastAsia" w:ascii="仿宋_GB2312"/>
          <w:b/>
          <w:bCs/>
          <w:color w:val="000000"/>
        </w:rPr>
        <w:t>5、生产要素成本偏高。</w:t>
      </w:r>
      <w:r>
        <w:rPr>
          <w:rFonts w:hint="eastAsia" w:ascii="仿宋_GB2312"/>
          <w:color w:val="000000"/>
        </w:rPr>
        <w:t>随着全县能源结构调整优化、节能减排工作的推进，部分钢铁和皮革行业企业由高耗能、高污染的燃煤向清洁环保的天然气过渡，</w:t>
      </w:r>
      <w:r>
        <w:rPr>
          <w:rFonts w:hint="eastAsia" w:ascii="仿宋_GB2312"/>
          <w:color w:val="000000"/>
          <w:lang w:eastAsia="zh-Hans"/>
        </w:rPr>
        <w:t>但是</w:t>
      </w:r>
      <w:r>
        <w:rPr>
          <w:rFonts w:hint="eastAsia" w:ascii="仿宋_GB2312"/>
          <w:color w:val="000000"/>
        </w:rPr>
        <w:t>天然气的成本与煤相比，本不具备价格优势</w:t>
      </w:r>
      <w:r>
        <w:rPr>
          <w:rFonts w:ascii="仿宋_GB2312"/>
          <w:color w:val="000000"/>
        </w:rPr>
        <w:t>，</w:t>
      </w:r>
      <w:r>
        <w:rPr>
          <w:rFonts w:hint="eastAsia" w:ascii="仿宋_GB2312"/>
          <w:color w:val="000000"/>
          <w:lang w:eastAsia="zh-Hans"/>
        </w:rPr>
        <w:t>在这一过程中大大增加了企业生产成本</w:t>
      </w:r>
      <w:r>
        <w:rPr>
          <w:rFonts w:hint="eastAsia" w:ascii="仿宋_GB2312"/>
          <w:color w:val="000000"/>
        </w:rPr>
        <w:t>。</w:t>
      </w:r>
      <w:r>
        <w:rPr>
          <w:rFonts w:hint="eastAsia" w:ascii="仿宋_GB2312"/>
          <w:color w:val="0000FF"/>
        </w:rPr>
        <w:t>全县的用电成本相较于其他工业城市也处于不利位置，青田县工业电</w:t>
      </w:r>
      <w:r>
        <w:rPr>
          <w:rFonts w:hint="eastAsia" w:ascii="仿宋_GB2312"/>
          <w:color w:val="0000FF"/>
          <w:lang w:val="en-US" w:eastAsia="zh-CN"/>
        </w:rPr>
        <w:t>价、生活成本、快递物流成本高于福建省临近县市区、省内兄弟地区。</w:t>
      </w:r>
      <w:r>
        <w:rPr>
          <w:rFonts w:hint="eastAsia" w:ascii="仿宋_GB2312"/>
          <w:color w:val="0000FF"/>
        </w:rPr>
        <w:t>青田县平均房价为13770元</w:t>
      </w:r>
      <w:r>
        <w:rPr>
          <w:rFonts w:ascii="仿宋_GB2312"/>
          <w:color w:val="0000FF"/>
        </w:rPr>
        <w:t>/</w:t>
      </w:r>
      <w:r>
        <w:rPr>
          <w:rFonts w:hint="eastAsia" w:ascii="仿宋_GB2312"/>
          <w:color w:val="0000FF"/>
        </w:rPr>
        <w:t>平方米，在浙江52个县级城市房价中排名19位</w:t>
      </w:r>
      <w:r>
        <w:rPr>
          <w:rFonts w:ascii="仿宋_GB2312"/>
          <w:color w:val="0000FF"/>
          <w:vertAlign w:val="superscript"/>
        </w:rPr>
        <w:footnoteReference w:id="1"/>
      </w:r>
      <w:r>
        <w:rPr>
          <w:rFonts w:hint="eastAsia" w:ascii="仿宋_GB2312"/>
          <w:color w:val="0000FF"/>
        </w:rPr>
        <w:t>。房价高水平也不仅增加了生活成本同时也大大增加生产经营成本,改变了资本、劳动、土地等要素之间的相对价格，使得全县工业生产要素成本经一步攀升。</w:t>
      </w:r>
      <w:r>
        <w:rPr>
          <w:rFonts w:hint="eastAsia" w:ascii="仿宋_GB2312"/>
          <w:color w:val="0000FF"/>
          <w:lang w:val="en-US" w:eastAsia="zh-CN"/>
        </w:rPr>
        <w:t>青田大宗货物、快递物流费用高，主要是快递量少、房租费用高、人工成本高、运输车辆空跑率高。</w:t>
      </w:r>
    </w:p>
    <w:p>
      <w:pPr>
        <w:pStyle w:val="38"/>
        <w:spacing w:line="560" w:lineRule="exact"/>
        <w:rPr>
          <w:rFonts w:hint="eastAsia" w:ascii="仿宋_GB2312"/>
          <w:color w:val="000000"/>
        </w:rPr>
      </w:pPr>
    </w:p>
    <w:p>
      <w:pPr>
        <w:pStyle w:val="38"/>
        <w:spacing w:line="560" w:lineRule="exact"/>
        <w:rPr>
          <w:rFonts w:hint="eastAsia" w:ascii="仿宋_GB2312" w:hAnsi="仿宋_GB2312" w:eastAsia="仿宋_GB2312" w:cs="仿宋_GB2312"/>
          <w:bCs/>
          <w:color w:val="0000FF"/>
          <w:szCs w:val="21"/>
        </w:rPr>
      </w:pPr>
      <w:r>
        <w:rPr>
          <w:rFonts w:hint="eastAsia" w:ascii="仿宋_GB2312"/>
          <w:color w:val="0000FF"/>
        </w:rPr>
        <w:t>综合判断，</w:t>
      </w:r>
      <w:r>
        <w:rPr>
          <w:rStyle w:val="53"/>
          <w:rFonts w:hint="eastAsia" w:ascii="仿宋_GB2312" w:hAnsi="仿宋_GB2312" w:eastAsia="仿宋_GB2312" w:cs="仿宋_GB2312"/>
          <w:color w:val="0000FF"/>
          <w:lang w:eastAsia="zh-CN"/>
        </w:rPr>
        <w:t>“</w:t>
      </w:r>
      <w:r>
        <w:rPr>
          <w:rStyle w:val="53"/>
          <w:rFonts w:hint="eastAsia" w:ascii="仿宋_GB2312" w:hAnsi="仿宋_GB2312" w:eastAsia="仿宋_GB2312" w:cs="仿宋_GB2312"/>
          <w:color w:val="0000FF"/>
        </w:rPr>
        <w:t>十四五</w:t>
      </w:r>
      <w:r>
        <w:rPr>
          <w:rStyle w:val="53"/>
          <w:rFonts w:hint="eastAsia" w:ascii="仿宋_GB2312" w:hAnsi="仿宋_GB2312" w:eastAsia="仿宋_GB2312" w:cs="仿宋_GB2312"/>
          <w:color w:val="0000FF"/>
          <w:lang w:eastAsia="zh-CN"/>
        </w:rPr>
        <w:t>”</w:t>
      </w:r>
      <w:r>
        <w:rPr>
          <w:rStyle w:val="53"/>
          <w:rFonts w:hint="eastAsia" w:ascii="仿宋_GB2312" w:hAnsi="仿宋_GB2312" w:eastAsia="仿宋_GB2312" w:cs="仿宋_GB2312"/>
          <w:color w:val="0000FF"/>
        </w:rPr>
        <w:t>时期是</w:t>
      </w:r>
      <w:r>
        <w:rPr>
          <w:rStyle w:val="53"/>
          <w:rFonts w:hint="eastAsia" w:ascii="仿宋_GB2312" w:hAnsi="仿宋_GB2312" w:cs="仿宋_GB2312"/>
          <w:color w:val="0000FF"/>
          <w:lang w:val="en-US" w:eastAsia="zh-CN"/>
        </w:rPr>
        <w:t>青田县生态工业大有可为、高质量绿色发展必有大作为的战略</w:t>
      </w:r>
      <w:r>
        <w:rPr>
          <w:rFonts w:hint="eastAsia" w:ascii="仿宋_GB2312"/>
          <w:color w:val="0000FF"/>
          <w:lang w:val="en-US" w:eastAsia="zh-CN"/>
        </w:rPr>
        <w:t>突破</w:t>
      </w:r>
      <w:r>
        <w:rPr>
          <w:rStyle w:val="53"/>
          <w:rFonts w:hint="eastAsia" w:ascii="仿宋_GB2312" w:hAnsi="仿宋_GB2312" w:cs="仿宋_GB2312"/>
          <w:color w:val="0000FF"/>
          <w:lang w:val="en-US" w:eastAsia="zh-CN"/>
        </w:rPr>
        <w:t>阶段，是</w:t>
      </w:r>
      <w:r>
        <w:rPr>
          <w:rFonts w:hint="eastAsia" w:ascii="仿宋_GB2312"/>
          <w:color w:val="0000FF"/>
          <w:lang w:val="en-US" w:eastAsia="zh-CN"/>
        </w:rPr>
        <w:t>跨山统筹的窗口期、问海借力的</w:t>
      </w:r>
      <w:r>
        <w:rPr>
          <w:rFonts w:hint="eastAsia" w:ascii="仿宋_GB2312"/>
          <w:color w:val="0000FF"/>
        </w:rPr>
        <w:t>黄金期、</w:t>
      </w:r>
      <w:r>
        <w:rPr>
          <w:rFonts w:hint="eastAsia" w:ascii="仿宋_GB2312"/>
          <w:color w:val="0000FF"/>
          <w:lang w:val="en-US" w:eastAsia="zh-CN"/>
        </w:rPr>
        <w:t>创新引领的</w:t>
      </w:r>
      <w:r>
        <w:rPr>
          <w:rFonts w:hint="eastAsia" w:ascii="仿宋_GB2312"/>
          <w:color w:val="0000FF"/>
        </w:rPr>
        <w:t>加速期</w:t>
      </w:r>
      <w:r>
        <w:rPr>
          <w:rFonts w:hint="eastAsia" w:ascii="仿宋_GB2312"/>
          <w:color w:val="0000FF"/>
          <w:lang w:eastAsia="zh-CN"/>
        </w:rPr>
        <w:t>。</w:t>
      </w:r>
      <w:r>
        <w:rPr>
          <w:rFonts w:hint="eastAsia" w:ascii="仿宋_GB2312"/>
          <w:color w:val="0000FF"/>
          <w:lang w:val="en-US" w:eastAsia="zh-CN"/>
        </w:rPr>
        <w:t>展望未来，青田</w:t>
      </w:r>
      <w:r>
        <w:rPr>
          <w:rFonts w:hint="eastAsia" w:ascii="仿宋_GB2312"/>
          <w:color w:val="0000FF"/>
        </w:rPr>
        <w:t>作为丽水市域发展核心带的“第一方阵”，</w:t>
      </w:r>
      <w:r>
        <w:rPr>
          <w:rFonts w:hint="eastAsia" w:ascii="仿宋_GB2312"/>
          <w:color w:val="0000FF"/>
          <w:lang w:val="en-US" w:eastAsia="zh-CN"/>
        </w:rPr>
        <w:t>全县上下</w:t>
      </w:r>
      <w:r>
        <w:rPr>
          <w:rFonts w:hint="eastAsia" w:ascii="仿宋_GB2312"/>
          <w:color w:val="0000FF"/>
        </w:rPr>
        <w:t>必须把思想和行动统一到以习近平同志为核心的党中央决策部署上来，必须坚定不移实施“工业强县”战略，以生态工业的新跨越，展现争创山区加快跨越式发展先行区的新成果。</w:t>
      </w:r>
      <w:r>
        <w:rPr>
          <w:rFonts w:hint="eastAsia" w:ascii="仿宋_GB2312"/>
          <w:color w:val="0000FF"/>
          <w:lang w:val="en-US" w:eastAsia="zh-CN"/>
        </w:rPr>
        <w:t>要</w:t>
      </w:r>
      <w:r>
        <w:rPr>
          <w:rFonts w:hint="eastAsia" w:ascii="仿宋_GB2312"/>
          <w:color w:val="0000FF"/>
        </w:rPr>
        <w:t>立足“华侨是最大优势、生态是最大底色、发展是最重任务”的县情实际，牢固树立“没有实现加快发展也是一种风险，没有追求实现加快跨越式发展的意识、决心和胆略更是极端危险”的理念，</w:t>
      </w:r>
      <w:r>
        <w:rPr>
          <w:rFonts w:hint="eastAsia" w:ascii="仿宋_GB2312"/>
          <w:color w:val="0000FF"/>
          <w:lang w:val="en-US" w:eastAsia="zh-CN"/>
        </w:rPr>
        <w:t>坚持从历史的角度、辩证的角度、战略的角度看青田，坚持</w:t>
      </w:r>
      <w:r>
        <w:rPr>
          <w:rFonts w:hint="default" w:ascii="仿宋_GB2312"/>
          <w:color w:val="0000FF"/>
          <w:lang w:val="en-US" w:eastAsia="zh-CN"/>
        </w:rPr>
        <w:t>以奋勇争先的状态，把握坐标</w:t>
      </w:r>
      <w:r>
        <w:rPr>
          <w:rFonts w:hint="eastAsia" w:ascii="仿宋_GB2312"/>
          <w:color w:val="0000FF"/>
          <w:lang w:val="en-US" w:eastAsia="zh-CN"/>
        </w:rPr>
        <w:t>、明确</w:t>
      </w:r>
      <w:r>
        <w:rPr>
          <w:rFonts w:hint="default" w:ascii="仿宋_GB2312"/>
          <w:color w:val="0000FF"/>
          <w:lang w:val="en-US" w:eastAsia="zh-CN"/>
        </w:rPr>
        <w:t>定位</w:t>
      </w:r>
      <w:r>
        <w:rPr>
          <w:rFonts w:hint="eastAsia" w:ascii="仿宋_GB2312"/>
          <w:color w:val="0000FF"/>
          <w:lang w:val="en-US" w:eastAsia="zh-CN"/>
        </w:rPr>
        <w:t>、</w:t>
      </w:r>
      <w:r>
        <w:rPr>
          <w:rFonts w:hint="default" w:ascii="仿宋_GB2312"/>
          <w:color w:val="0000FF"/>
          <w:lang w:val="en-US" w:eastAsia="zh-CN"/>
        </w:rPr>
        <w:t>振奋精神，</w:t>
      </w:r>
      <w:r>
        <w:rPr>
          <w:rFonts w:hint="eastAsia" w:ascii="仿宋_GB2312"/>
          <w:color w:val="0000FF"/>
          <w:lang w:val="en-US" w:eastAsia="zh-CN"/>
        </w:rPr>
        <w:t>奋</w:t>
      </w:r>
      <w:r>
        <w:rPr>
          <w:rFonts w:hint="default" w:ascii="仿宋_GB2312"/>
          <w:color w:val="0000FF"/>
          <w:lang w:val="en-US" w:eastAsia="zh-CN"/>
        </w:rPr>
        <w:t>力开拓</w:t>
      </w:r>
      <w:r>
        <w:rPr>
          <w:rFonts w:hint="eastAsia" w:ascii="仿宋_GB2312"/>
          <w:color w:val="0000FF"/>
          <w:lang w:val="en-US" w:eastAsia="zh-CN"/>
        </w:rPr>
        <w:t>生态工业</w:t>
      </w:r>
      <w:r>
        <w:rPr>
          <w:rFonts w:hint="default" w:ascii="仿宋_GB2312"/>
          <w:color w:val="0000FF"/>
          <w:lang w:val="en-US" w:eastAsia="zh-CN"/>
        </w:rPr>
        <w:t>发展新局面</w:t>
      </w:r>
      <w:r>
        <w:rPr>
          <w:rFonts w:hint="eastAsia" w:ascii="仿宋_GB2312" w:hAnsi="仿宋_GB2312" w:eastAsia="仿宋_GB2312" w:cs="仿宋_GB2312"/>
          <w:bCs/>
          <w:color w:val="0000FF"/>
          <w:szCs w:val="21"/>
        </w:rPr>
        <w:t>，全面迈向</w:t>
      </w:r>
      <w:r>
        <w:rPr>
          <w:rFonts w:hint="eastAsia" w:ascii="仿宋_GB2312" w:hAnsi="仿宋_GB2312" w:cs="仿宋_GB2312"/>
          <w:bCs/>
          <w:color w:val="0000FF"/>
          <w:szCs w:val="21"/>
          <w:lang w:val="en-US" w:eastAsia="zh-CN"/>
        </w:rPr>
        <w:t>高质量绿色发展</w:t>
      </w:r>
      <w:r>
        <w:rPr>
          <w:rFonts w:hint="eastAsia" w:ascii="仿宋_GB2312" w:hAnsi="仿宋_GB2312" w:eastAsia="仿宋_GB2312" w:cs="仿宋_GB2312"/>
          <w:bCs/>
          <w:color w:val="0000FF"/>
          <w:szCs w:val="21"/>
        </w:rPr>
        <w:t>新征程！</w:t>
      </w:r>
    </w:p>
    <w:p>
      <w:pPr>
        <w:pStyle w:val="38"/>
        <w:spacing w:line="560" w:lineRule="exact"/>
        <w:rPr>
          <w:rFonts w:hint="eastAsia" w:ascii="仿宋_GB2312"/>
          <w:color w:val="000000"/>
        </w:rPr>
      </w:pPr>
    </w:p>
    <w:bookmarkEnd w:id="1"/>
    <w:bookmarkEnd w:id="2"/>
    <w:p>
      <w:pPr>
        <w:pStyle w:val="29"/>
        <w:spacing w:line="560" w:lineRule="exact"/>
        <w:ind w:firstLine="640"/>
        <w:rPr>
          <w:sz w:val="32"/>
          <w:szCs w:val="32"/>
        </w:rPr>
        <w:sectPr>
          <w:footerReference r:id="rId12" w:type="default"/>
          <w:pgSz w:w="11906" w:h="16838"/>
          <w:pgMar w:top="1440" w:right="1800" w:bottom="1440" w:left="1800" w:header="851" w:footer="992" w:gutter="0"/>
          <w:pgNumType w:start="1"/>
          <w:cols w:space="425" w:num="1"/>
          <w:docGrid w:type="lines" w:linePitch="408" w:charSpace="0"/>
        </w:sectPr>
      </w:pPr>
    </w:p>
    <w:p>
      <w:pPr>
        <w:pStyle w:val="29"/>
        <w:spacing w:line="560" w:lineRule="exact"/>
        <w:ind w:firstLine="0" w:firstLineChars="0"/>
        <w:rPr>
          <w:sz w:val="32"/>
          <w:szCs w:val="32"/>
        </w:rPr>
      </w:pPr>
      <w:bookmarkStart w:id="7" w:name="_Toc31227"/>
      <w:r>
        <w:rPr>
          <w:rFonts w:hint="eastAsia"/>
          <w:sz w:val="32"/>
          <w:szCs w:val="32"/>
        </w:rPr>
        <w:t>二、总体思路</w:t>
      </w:r>
      <w:bookmarkEnd w:id="7"/>
    </w:p>
    <w:p>
      <w:pPr>
        <w:pStyle w:val="4"/>
        <w:spacing w:line="560" w:lineRule="exact"/>
        <w:ind w:firstLine="602"/>
        <w:contextualSpacing/>
        <w:rPr>
          <w:rFonts w:ascii="楷体_GB2312" w:eastAsia="楷体_GB2312"/>
          <w:color w:val="000000"/>
        </w:rPr>
      </w:pPr>
      <w:bookmarkStart w:id="8" w:name="_Toc15425"/>
      <w:r>
        <w:rPr>
          <w:rFonts w:hint="eastAsia" w:ascii="楷体_GB2312" w:eastAsia="楷体_GB2312"/>
          <w:color w:val="000000"/>
        </w:rPr>
        <w:t>（一）指导思想</w:t>
      </w:r>
      <w:bookmarkEnd w:id="8"/>
    </w:p>
    <w:p>
      <w:pPr>
        <w:pStyle w:val="38"/>
        <w:spacing w:line="560" w:lineRule="exact"/>
        <w:ind w:firstLine="640"/>
        <w:rPr>
          <w:bCs/>
          <w:szCs w:val="28"/>
        </w:rPr>
      </w:pPr>
      <w:r>
        <w:rPr>
          <w:rFonts w:hint="eastAsia" w:ascii="仿宋_GB2312"/>
          <w:color w:val="000000"/>
        </w:rPr>
        <w:t>高举习近平新时代中国特色社会主义思想伟大旗帜，深入贯彻党的十九大和十九届二中、三中、四中、五中全会精神，坚定不移走创新实践“绿水青山就是金山银山”理念发展道路，围绕忠实践行“八八战略”、奋力打造“重要窗口”主题主线，高扬“丽水之干”奋斗旗帜，扛起“求是跨越”使命担当，以“产业生态化、生态产业化”为主线，以“倍增发展、提质增效”为主基调，以“绿色低碳、生态循环”平台“二次创业”为主战场，全面实施“</w:t>
      </w:r>
      <w:r>
        <w:rPr>
          <w:rFonts w:hint="eastAsia" w:ascii="仿宋_GB2312"/>
          <w:color w:val="000000"/>
          <w:lang w:val="en-US" w:eastAsia="zh-CN"/>
        </w:rPr>
        <w:t>一体三区七清</w:t>
      </w:r>
      <w:r>
        <w:rPr>
          <w:rFonts w:hint="eastAsia" w:ascii="仿宋_GB2312"/>
          <w:color w:val="000000"/>
        </w:rPr>
        <w:t>”</w:t>
      </w:r>
      <w:r>
        <w:rPr>
          <w:rFonts w:hint="eastAsia" w:ascii="仿宋_GB2312"/>
          <w:color w:val="000000"/>
          <w:lang w:val="en-US" w:eastAsia="zh-CN"/>
        </w:rPr>
        <w:t>生态工业跨越发展</w:t>
      </w:r>
      <w:r>
        <w:rPr>
          <w:rFonts w:hint="eastAsia" w:ascii="仿宋_GB2312"/>
          <w:color w:val="000000"/>
        </w:rPr>
        <w:t>工程，</w:t>
      </w:r>
      <w:r>
        <w:rPr>
          <w:rFonts w:hint="eastAsia" w:ascii="仿宋_GB2312"/>
          <w:color w:val="000000"/>
          <w:lang w:val="en-US" w:eastAsia="zh-CN"/>
        </w:rPr>
        <w:t>以数字化改革引领生态工业质量变革、效率变革、动力变革，加快集群化、园区化、新型化、低碳化发展，努力</w:t>
      </w:r>
      <w:r>
        <w:rPr>
          <w:rFonts w:hint="eastAsia" w:ascii="仿宋_GB2312"/>
          <w:color w:val="000000"/>
        </w:rPr>
        <w:t>将青田县打造成为</w:t>
      </w:r>
      <w:r>
        <w:rPr>
          <w:rFonts w:ascii="仿宋_GB2312"/>
          <w:b/>
          <w:bCs/>
          <w:color w:val="000000"/>
        </w:rPr>
        <w:t>全国</w:t>
      </w:r>
      <w:r>
        <w:rPr>
          <w:rFonts w:hint="eastAsia" w:ascii="仿宋_GB2312"/>
          <w:b/>
          <w:bCs/>
          <w:color w:val="000000"/>
        </w:rPr>
        <w:t>山区跨越式高质量发展先行区、长三角华侨投资改革先行区</w:t>
      </w:r>
      <w:r>
        <w:rPr>
          <w:rStyle w:val="28"/>
          <w:rFonts w:hint="eastAsia" w:ascii="仿宋_GB2312"/>
          <w:b/>
          <w:bCs/>
          <w:color w:val="000000"/>
        </w:rPr>
        <w:footnoteReference w:id="2"/>
      </w:r>
      <w:r>
        <w:rPr>
          <w:rFonts w:hint="eastAsia" w:ascii="仿宋_GB2312"/>
          <w:b/>
          <w:bCs/>
          <w:color w:val="000000"/>
        </w:rPr>
        <w:t>、全省生态工业试点区，</w:t>
      </w:r>
      <w:r>
        <w:rPr>
          <w:bCs/>
          <w:szCs w:val="28"/>
        </w:rPr>
        <w:t>为</w:t>
      </w:r>
      <w:r>
        <w:rPr>
          <w:rFonts w:hint="eastAsia"/>
          <w:bCs/>
          <w:szCs w:val="28"/>
        </w:rPr>
        <w:t>青田聚力建设</w:t>
      </w:r>
      <w:r>
        <w:rPr>
          <w:rFonts w:hint="eastAsia" w:ascii="仿宋_GB2312"/>
          <w:color w:val="000000"/>
        </w:rPr>
        <w:t>“美丽青田、幸福侨乡”</w:t>
      </w:r>
      <w:r>
        <w:rPr>
          <w:rFonts w:hint="eastAsia"/>
          <w:bCs/>
          <w:szCs w:val="28"/>
        </w:rPr>
        <w:t>、丽水奋力打造“高水平建设和高质量发展重要窗口”贡献</w:t>
      </w:r>
      <w:r>
        <w:rPr>
          <w:szCs w:val="28"/>
        </w:rPr>
        <w:t>决定性</w:t>
      </w:r>
      <w:r>
        <w:rPr>
          <w:rFonts w:hint="eastAsia"/>
          <w:bCs/>
          <w:szCs w:val="28"/>
        </w:rPr>
        <w:t>力量，</w:t>
      </w:r>
      <w:r>
        <w:rPr>
          <w:szCs w:val="28"/>
        </w:rPr>
        <w:t>为</w:t>
      </w:r>
      <w:r>
        <w:rPr>
          <w:rFonts w:hint="eastAsia"/>
          <w:bCs/>
          <w:szCs w:val="28"/>
        </w:rPr>
        <w:t>全省</w:t>
      </w:r>
      <w:r>
        <w:rPr>
          <w:rFonts w:hint="eastAsia"/>
          <w:szCs w:val="28"/>
        </w:rPr>
        <w:t>争当美丽中国示范区、争创</w:t>
      </w:r>
      <w:r>
        <w:rPr>
          <w:bCs/>
          <w:szCs w:val="28"/>
        </w:rPr>
        <w:t>社会主义现代化</w:t>
      </w:r>
      <w:r>
        <w:rPr>
          <w:rFonts w:hint="eastAsia"/>
          <w:bCs/>
          <w:szCs w:val="28"/>
        </w:rPr>
        <w:t>先行省打下</w:t>
      </w:r>
      <w:r>
        <w:rPr>
          <w:rFonts w:hint="eastAsia"/>
          <w:bCs/>
          <w:szCs w:val="28"/>
          <w:lang w:val="en-US" w:eastAsia="zh-CN"/>
        </w:rPr>
        <w:t>坚实</w:t>
      </w:r>
      <w:r>
        <w:rPr>
          <w:rFonts w:hint="eastAsia"/>
          <w:szCs w:val="28"/>
        </w:rPr>
        <w:t>基础</w:t>
      </w:r>
      <w:r>
        <w:rPr>
          <w:bCs/>
          <w:szCs w:val="28"/>
        </w:rPr>
        <w:t>。</w:t>
      </w:r>
    </w:p>
    <w:p>
      <w:pPr>
        <w:pStyle w:val="38"/>
        <w:spacing w:line="560" w:lineRule="exact"/>
        <w:ind w:firstLine="640"/>
        <w:rPr>
          <w:bCs/>
          <w:szCs w:val="28"/>
        </w:rPr>
      </w:pPr>
    </w:p>
    <w:tbl>
      <w:tblPr>
        <w:tblStyle w:val="21"/>
        <w:tblW w:w="8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36" w:type="dxa"/>
          </w:tcPr>
          <w:p>
            <w:pPr>
              <w:spacing w:line="720" w:lineRule="auto"/>
              <w:ind w:firstLine="0" w:firstLineChars="0"/>
              <w:jc w:val="center"/>
              <w:rPr>
                <w:bCs/>
                <w:szCs w:val="28"/>
              </w:rPr>
            </w:pPr>
            <w:r>
              <w:rPr>
                <w:rFonts w:hint="eastAsia" w:ascii="黑体" w:hAnsi="黑体" w:eastAsia="黑体" w:cs="黑体"/>
                <w:bCs/>
                <w:szCs w:val="28"/>
                <w:lang w:val="en-US" w:eastAsia="zh-CN"/>
              </w:rPr>
              <w:t>生态工业跨越发展战略：</w:t>
            </w:r>
            <w:r>
              <w:rPr>
                <w:rFonts w:hint="eastAsia" w:ascii="黑体" w:hAnsi="黑体" w:eastAsia="黑体" w:cs="黑体"/>
                <w:bCs/>
                <w:szCs w:val="28"/>
              </w:rPr>
              <w:t>“</w:t>
            </w:r>
            <w:r>
              <w:rPr>
                <w:rFonts w:hint="eastAsia" w:ascii="黑体" w:hAnsi="黑体" w:eastAsia="黑体" w:cs="黑体"/>
                <w:bCs/>
                <w:szCs w:val="28"/>
                <w:lang w:val="en-US" w:eastAsia="zh-CN"/>
              </w:rPr>
              <w:t>一体</w:t>
            </w:r>
            <w:r>
              <w:rPr>
                <w:rFonts w:hint="eastAsia" w:ascii="黑体" w:hAnsi="黑体" w:eastAsia="黑体" w:cs="黑体"/>
                <w:bCs/>
                <w:szCs w:val="28"/>
              </w:rPr>
              <w:t>三区七清”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6" w:type="dxa"/>
          </w:tcPr>
          <w:p>
            <w:pPr>
              <w:spacing w:line="560" w:lineRule="exact"/>
              <w:ind w:firstLine="560"/>
              <w:rPr>
                <w:sz w:val="28"/>
                <w:szCs w:val="22"/>
              </w:rPr>
            </w:pPr>
            <w:r>
              <w:rPr>
                <w:rFonts w:hint="eastAsia"/>
                <w:b/>
                <w:bCs/>
                <w:sz w:val="28"/>
                <w:szCs w:val="22"/>
                <w:lang w:val="en-US" w:eastAsia="zh-CN"/>
              </w:rPr>
              <w:t>一体推进：</w:t>
            </w:r>
            <w:r>
              <w:rPr>
                <w:rFonts w:hint="eastAsia"/>
                <w:b w:val="0"/>
                <w:bCs w:val="0"/>
                <w:sz w:val="28"/>
                <w:szCs w:val="22"/>
                <w:lang w:val="en-US" w:eastAsia="zh-CN"/>
              </w:rPr>
              <w:t>一体化推进产城人文融合发展，全力谋划一个“万亩千亿”生态工业发展大平台，</w:t>
            </w:r>
            <w:r>
              <w:rPr>
                <w:rFonts w:hint="eastAsia"/>
                <w:sz w:val="28"/>
                <w:szCs w:val="22"/>
              </w:rPr>
              <w:t>全力构建</w:t>
            </w:r>
            <w:r>
              <w:rPr>
                <w:rFonts w:hint="eastAsia"/>
                <w:sz w:val="28"/>
                <w:szCs w:val="22"/>
                <w:lang w:val="en-US" w:eastAsia="zh-CN"/>
              </w:rPr>
              <w:t>一个</w:t>
            </w:r>
            <w:r>
              <w:rPr>
                <w:rFonts w:hint="eastAsia"/>
                <w:sz w:val="28"/>
                <w:szCs w:val="22"/>
              </w:rPr>
              <w:t>以高端不锈钢（精密制造）、时尚（鞋服）、智控阀门（高端装备）、绿色石矿产业、新兴产业（绿色新能源）等五大百亿新增产能</w:t>
            </w:r>
            <w:r>
              <w:rPr>
                <w:rFonts w:hint="eastAsia"/>
                <w:sz w:val="28"/>
                <w:szCs w:val="22"/>
                <w:lang w:val="en-US" w:eastAsia="zh-CN"/>
              </w:rPr>
              <w:t>为支撑</w:t>
            </w:r>
            <w:r>
              <w:rPr>
                <w:rFonts w:hint="eastAsia"/>
                <w:sz w:val="28"/>
                <w:szCs w:val="22"/>
              </w:rPr>
              <w:t>，</w:t>
            </w:r>
            <w:r>
              <w:rPr>
                <w:rFonts w:hint="eastAsia"/>
                <w:sz w:val="28"/>
                <w:szCs w:val="22"/>
                <w:lang w:val="en-US" w:eastAsia="zh-CN"/>
              </w:rPr>
              <w:t>与</w:t>
            </w:r>
            <w:r>
              <w:rPr>
                <w:rFonts w:hint="eastAsia"/>
                <w:sz w:val="28"/>
                <w:szCs w:val="22"/>
              </w:rPr>
              <w:t>数字经济新业态新模式</w:t>
            </w:r>
            <w:r>
              <w:rPr>
                <w:rFonts w:hint="eastAsia"/>
                <w:sz w:val="28"/>
                <w:szCs w:val="22"/>
                <w:lang w:eastAsia="zh-CN"/>
              </w:rPr>
              <w:t>、</w:t>
            </w:r>
            <w:r>
              <w:rPr>
                <w:rFonts w:hint="eastAsia"/>
                <w:sz w:val="28"/>
                <w:szCs w:val="22"/>
              </w:rPr>
              <w:t>现代服务业</w:t>
            </w:r>
            <w:r>
              <w:rPr>
                <w:rFonts w:hint="eastAsia"/>
                <w:sz w:val="28"/>
                <w:szCs w:val="22"/>
                <w:lang w:val="en-US" w:eastAsia="zh-CN"/>
              </w:rPr>
              <w:t>深度融合</w:t>
            </w:r>
            <w:r>
              <w:rPr>
                <w:rFonts w:hint="eastAsia"/>
                <w:sz w:val="28"/>
                <w:szCs w:val="22"/>
              </w:rPr>
              <w:t>的现代生态工业体系。</w:t>
            </w:r>
          </w:p>
          <w:p>
            <w:pPr>
              <w:spacing w:line="560" w:lineRule="exact"/>
              <w:ind w:firstLine="562"/>
              <w:rPr>
                <w:b w:val="0"/>
                <w:bCs w:val="0"/>
                <w:sz w:val="28"/>
                <w:szCs w:val="22"/>
              </w:rPr>
            </w:pPr>
            <w:r>
              <w:rPr>
                <w:rFonts w:hint="eastAsia"/>
                <w:b/>
                <w:bCs/>
                <w:sz w:val="28"/>
                <w:szCs w:val="22"/>
              </w:rPr>
              <w:t>三区定位：</w:t>
            </w:r>
            <w:r>
              <w:rPr>
                <w:rFonts w:hint="eastAsia"/>
                <w:b w:val="0"/>
                <w:bCs w:val="0"/>
                <w:sz w:val="28"/>
                <w:szCs w:val="22"/>
              </w:rPr>
              <w:t>全国山区跨越式发展先行区、长三角华侨投资改革先行区、全省生态工业试点区</w:t>
            </w:r>
            <w:r>
              <w:rPr>
                <w:rFonts w:hint="eastAsia"/>
                <w:b w:val="0"/>
                <w:bCs w:val="0"/>
              </w:rPr>
              <w:t>。</w:t>
            </w:r>
          </w:p>
          <w:p>
            <w:pPr>
              <w:spacing w:line="560" w:lineRule="exact"/>
              <w:ind w:firstLine="562"/>
              <w:rPr>
                <w:sz w:val="28"/>
                <w:szCs w:val="22"/>
              </w:rPr>
            </w:pPr>
            <w:r>
              <w:rPr>
                <w:rFonts w:hint="eastAsia"/>
                <w:b/>
                <w:bCs/>
                <w:sz w:val="28"/>
                <w:szCs w:val="22"/>
              </w:rPr>
              <w:t>七清工程：</w:t>
            </w:r>
            <w:r>
              <w:rPr>
                <w:rFonts w:hint="eastAsia"/>
                <w:b w:val="0"/>
                <w:bCs w:val="0"/>
                <w:sz w:val="28"/>
                <w:szCs w:val="22"/>
              </w:rPr>
              <w:t>产业培育清单、平台建设清单、产业链精准招商清单、重点项目投资清单、企业梯队培育清单、引领性创新平台建设清单和重点改革清单。</w:t>
            </w:r>
          </w:p>
        </w:tc>
      </w:tr>
    </w:tbl>
    <w:p>
      <w:pPr>
        <w:pStyle w:val="4"/>
        <w:spacing w:line="560" w:lineRule="exact"/>
        <w:contextualSpacing/>
        <w:rPr>
          <w:rFonts w:ascii="楷体_GB2312" w:eastAsia="楷体_GB2312"/>
          <w:color w:val="000000"/>
          <w:sz w:val="32"/>
        </w:rPr>
      </w:pPr>
      <w:bookmarkStart w:id="9" w:name="_Toc60230252"/>
      <w:bookmarkStart w:id="10" w:name="_Toc26509"/>
      <w:r>
        <w:rPr>
          <w:rFonts w:hint="eastAsia" w:ascii="楷体_GB2312" w:eastAsia="楷体_GB2312"/>
          <w:color w:val="000000"/>
          <w:sz w:val="32"/>
          <w:lang w:eastAsia="zh-CN"/>
        </w:rPr>
        <w:t>（</w:t>
      </w:r>
      <w:r>
        <w:rPr>
          <w:rFonts w:hint="eastAsia" w:ascii="楷体_GB2312" w:eastAsia="楷体_GB2312"/>
          <w:color w:val="000000"/>
          <w:sz w:val="32"/>
          <w:lang w:val="en-US" w:eastAsia="zh-CN"/>
        </w:rPr>
        <w:t>二</w:t>
      </w:r>
      <w:r>
        <w:rPr>
          <w:rFonts w:hint="eastAsia" w:ascii="楷体_GB2312" w:eastAsia="楷体_GB2312"/>
          <w:color w:val="000000"/>
          <w:sz w:val="32"/>
          <w:lang w:eastAsia="zh-CN"/>
        </w:rPr>
        <w:t>）</w:t>
      </w:r>
      <w:r>
        <w:rPr>
          <w:rFonts w:hint="eastAsia" w:ascii="楷体_GB2312" w:eastAsia="楷体_GB2312"/>
          <w:color w:val="000000"/>
          <w:sz w:val="32"/>
        </w:rPr>
        <w:t>基本原则</w:t>
      </w:r>
      <w:bookmarkEnd w:id="9"/>
      <w:bookmarkEnd w:id="10"/>
    </w:p>
    <w:p>
      <w:pPr>
        <w:pStyle w:val="38"/>
        <w:spacing w:line="560" w:lineRule="exact"/>
        <w:rPr>
          <w:rFonts w:ascii="仿宋_GB2312"/>
          <w:color w:val="000000"/>
        </w:rPr>
      </w:pPr>
      <w:r>
        <w:rPr>
          <w:rFonts w:hint="eastAsia" w:ascii="仿宋_GB2312"/>
          <w:b/>
          <w:bCs/>
          <w:color w:val="000000"/>
        </w:rPr>
        <w:t>1.坚持生态优先，强化绿色发展。</w:t>
      </w:r>
      <w:r>
        <w:rPr>
          <w:rFonts w:hint="eastAsia" w:ascii="仿宋_GB2312"/>
          <w:color w:val="000000"/>
        </w:rPr>
        <w:t xml:space="preserve">坚守生态保护红线、环境质量底线和资源利用上线，全面推进产品绿色化、生产清洁化、能源高效化、污染减量化的生态工业发展。 </w:t>
      </w:r>
    </w:p>
    <w:p>
      <w:pPr>
        <w:pStyle w:val="38"/>
        <w:spacing w:line="560" w:lineRule="exact"/>
        <w:rPr>
          <w:rFonts w:ascii="仿宋_GB2312"/>
          <w:color w:val="000000"/>
        </w:rPr>
      </w:pPr>
      <w:r>
        <w:rPr>
          <w:rFonts w:hint="eastAsia" w:ascii="仿宋_GB2312"/>
          <w:b/>
          <w:bCs/>
          <w:color w:val="000000"/>
        </w:rPr>
        <w:t>2.坚持集聚提升，强化融合发展。</w:t>
      </w:r>
      <w:r>
        <w:rPr>
          <w:rFonts w:hint="eastAsia" w:ascii="仿宋_GB2312"/>
          <w:color w:val="000000"/>
        </w:rPr>
        <w:t>推进平台“二次创业”，强化大、中、小、微园区生态管理功能，推广数字技术在园区管理应用，推进园区、厂房、楼宇、工厂、公共设施集成化绿色改造。</w:t>
      </w:r>
    </w:p>
    <w:p>
      <w:pPr>
        <w:pStyle w:val="38"/>
        <w:spacing w:line="560" w:lineRule="exact"/>
        <w:rPr>
          <w:rFonts w:ascii="仿宋_GB2312"/>
          <w:color w:val="000000"/>
        </w:rPr>
      </w:pPr>
      <w:r>
        <w:rPr>
          <w:rFonts w:hint="eastAsia" w:ascii="仿宋_GB2312"/>
          <w:b/>
          <w:bCs/>
          <w:color w:val="000000"/>
        </w:rPr>
        <w:t>3.坚持科技引领，强化创新发展。</w:t>
      </w:r>
      <w:r>
        <w:rPr>
          <w:rFonts w:hint="eastAsia" w:ascii="仿宋_GB2312"/>
          <w:color w:val="000000"/>
        </w:rPr>
        <w:t>全面推进产品创新、技术创新、管理创新和体制机制创新，加快工业经济发展质量变革、效率变革、动力变革，强化生态工业标准引领。</w:t>
      </w:r>
    </w:p>
    <w:p>
      <w:pPr>
        <w:pStyle w:val="38"/>
        <w:spacing w:line="560" w:lineRule="exact"/>
        <w:rPr>
          <w:rFonts w:ascii="仿宋_GB2312"/>
          <w:color w:val="000000"/>
        </w:rPr>
      </w:pPr>
      <w:r>
        <w:rPr>
          <w:rFonts w:ascii="仿宋_GB2312"/>
          <w:b/>
          <w:bCs/>
          <w:color w:val="000000"/>
        </w:rPr>
        <w:t>4</w:t>
      </w:r>
      <w:r>
        <w:rPr>
          <w:rFonts w:hint="eastAsia" w:ascii="仿宋_GB2312"/>
          <w:b/>
          <w:bCs/>
          <w:color w:val="000000"/>
        </w:rPr>
        <w:t>.坚持“进出”结合，强化开放发展。</w:t>
      </w:r>
      <w:r>
        <w:rPr>
          <w:rFonts w:hint="eastAsia" w:ascii="仿宋_GB2312"/>
          <w:color w:val="000000"/>
        </w:rPr>
        <w:t>加快推进项目和人才，发挥域外人才招引和项目孵化基地作用，深度接轨长三角核心区，主动融入温州大都市经济圈。</w:t>
      </w:r>
    </w:p>
    <w:p>
      <w:pPr>
        <w:pStyle w:val="38"/>
        <w:spacing w:line="560" w:lineRule="exact"/>
        <w:rPr>
          <w:rFonts w:hint="eastAsia" w:ascii="仿宋_GB2312"/>
          <w:color w:val="000000"/>
        </w:rPr>
      </w:pPr>
      <w:r>
        <w:rPr>
          <w:rFonts w:ascii="仿宋_GB2312"/>
          <w:b/>
          <w:bCs/>
          <w:color w:val="000000"/>
        </w:rPr>
        <w:t>5</w:t>
      </w:r>
      <w:r>
        <w:rPr>
          <w:rFonts w:hint="eastAsia" w:ascii="仿宋_GB2312"/>
          <w:b/>
          <w:bCs/>
          <w:color w:val="000000"/>
        </w:rPr>
        <w:t>.坚持市场配置，强化统筹发展。</w:t>
      </w:r>
      <w:r>
        <w:rPr>
          <w:rFonts w:hint="eastAsia" w:ascii="仿宋_GB2312"/>
          <w:color w:val="000000"/>
        </w:rPr>
        <w:t>深化“亩均论英雄”改革，强化投资项目审批流程优化和“标准地”改革，引导能源、土地、资金等要素向高质量项目和企业流动。</w:t>
      </w:r>
    </w:p>
    <w:p>
      <w:pPr>
        <w:pStyle w:val="4"/>
        <w:spacing w:line="560" w:lineRule="exact"/>
        <w:ind w:firstLine="602"/>
        <w:contextualSpacing/>
        <w:rPr>
          <w:rFonts w:hint="default" w:ascii="楷体_GB2312" w:eastAsia="楷体_GB2312"/>
          <w:color w:val="0000FF"/>
          <w:lang w:val="en-US" w:eastAsia="zh-CN"/>
        </w:rPr>
      </w:pPr>
      <w:bookmarkStart w:id="11" w:name="_Toc2556"/>
      <w:r>
        <w:rPr>
          <w:rFonts w:hint="eastAsia" w:ascii="楷体_GB2312" w:eastAsia="楷体_GB2312"/>
          <w:color w:val="0000FF"/>
        </w:rPr>
        <w:t>（</w:t>
      </w:r>
      <w:r>
        <w:rPr>
          <w:rFonts w:hint="eastAsia" w:ascii="楷体_GB2312" w:eastAsia="楷体_GB2312"/>
          <w:color w:val="0000FF"/>
          <w:lang w:val="en-US" w:eastAsia="zh-CN"/>
        </w:rPr>
        <w:t>三</w:t>
      </w:r>
      <w:r>
        <w:rPr>
          <w:rFonts w:hint="eastAsia" w:ascii="楷体_GB2312" w:eastAsia="楷体_GB2312"/>
          <w:color w:val="0000FF"/>
        </w:rPr>
        <w:t>）</w:t>
      </w:r>
      <w:r>
        <w:rPr>
          <w:rFonts w:hint="eastAsia" w:ascii="楷体_GB2312" w:eastAsia="楷体_GB2312"/>
          <w:color w:val="0000FF"/>
          <w:lang w:val="en-US" w:eastAsia="zh-CN"/>
        </w:rPr>
        <w:t>战略定位</w:t>
      </w:r>
      <w:bookmarkEnd w:id="11"/>
    </w:p>
    <w:p>
      <w:pPr>
        <w:pStyle w:val="38"/>
        <w:spacing w:line="560" w:lineRule="exact"/>
        <w:rPr>
          <w:rFonts w:hint="eastAsia" w:ascii="仿宋_GB2312"/>
          <w:color w:val="0000FF"/>
        </w:rPr>
      </w:pPr>
      <w:r>
        <w:rPr>
          <w:rFonts w:hint="eastAsia" w:ascii="楷体_GB2312" w:eastAsia="楷体_GB2312"/>
          <w:b/>
          <w:bCs/>
          <w:color w:val="0000FF"/>
        </w:rPr>
        <w:t>1.全国山区跨越式发展先行区。</w:t>
      </w:r>
      <w:r>
        <w:rPr>
          <w:rFonts w:hint="eastAsia" w:ascii="仿宋_GB2312"/>
          <w:color w:val="0000FF"/>
        </w:rPr>
        <w:t>借力平台“二次创业”</w:t>
      </w:r>
      <w:r>
        <w:rPr>
          <w:rFonts w:hint="eastAsia" w:ascii="仿宋_GB2312"/>
          <w:color w:val="0000FF"/>
          <w:lang w:val="en-US" w:eastAsia="zh-CN"/>
        </w:rPr>
        <w:t>进一步优化生产力布局</w:t>
      </w:r>
      <w:r>
        <w:rPr>
          <w:rFonts w:hint="eastAsia" w:ascii="仿宋_GB2312"/>
          <w:color w:val="0000FF"/>
        </w:rPr>
        <w:t>，聚力打造具有区域竞争力的新增长极，推进资源要素优化配置和产业集聚发展</w:t>
      </w:r>
      <w:r>
        <w:rPr>
          <w:rFonts w:hint="eastAsia" w:ascii="仿宋_GB2312"/>
          <w:color w:val="0000FF"/>
          <w:lang w:eastAsia="zh-CN"/>
        </w:rPr>
        <w:t>，</w:t>
      </w:r>
      <w:r>
        <w:rPr>
          <w:rFonts w:hint="eastAsia" w:ascii="仿宋_GB2312"/>
          <w:color w:val="0000FF"/>
          <w:lang w:val="en-US" w:eastAsia="zh-CN"/>
        </w:rPr>
        <w:t>在山区</w:t>
      </w:r>
      <w:r>
        <w:rPr>
          <w:rFonts w:hint="eastAsia" w:ascii="仿宋_GB2312"/>
          <w:color w:val="0000FF"/>
        </w:rPr>
        <w:t>跨越式发展</w:t>
      </w:r>
      <w:r>
        <w:rPr>
          <w:rFonts w:hint="eastAsia" w:ascii="仿宋_GB2312"/>
          <w:color w:val="0000FF"/>
          <w:lang w:val="en-US" w:eastAsia="zh-CN"/>
        </w:rPr>
        <w:t>方面取得先行突破</w:t>
      </w:r>
      <w:r>
        <w:rPr>
          <w:rFonts w:hint="eastAsia" w:ascii="仿宋_GB2312"/>
          <w:color w:val="0000FF"/>
        </w:rPr>
        <w:t>。</w:t>
      </w:r>
    </w:p>
    <w:p>
      <w:pPr>
        <w:pStyle w:val="38"/>
        <w:spacing w:line="560" w:lineRule="exact"/>
        <w:rPr>
          <w:rFonts w:hint="eastAsia" w:ascii="仿宋_GB2312"/>
          <w:color w:val="0000FF"/>
        </w:rPr>
      </w:pPr>
      <w:r>
        <w:rPr>
          <w:rFonts w:hint="eastAsia" w:ascii="楷体_GB2312" w:eastAsia="楷体_GB2312"/>
          <w:b/>
          <w:bCs/>
          <w:color w:val="0000FF"/>
        </w:rPr>
        <w:t>2.长三角华侨投资改革先行地。</w:t>
      </w:r>
      <w:r>
        <w:rPr>
          <w:rFonts w:hint="eastAsia" w:ascii="仿宋_GB2312"/>
          <w:color w:val="0000FF"/>
        </w:rPr>
        <w:t>借鉴上海自贸区、海南自贸区</w:t>
      </w:r>
      <w:r>
        <w:rPr>
          <w:rFonts w:hint="eastAsia" w:ascii="仿宋_GB2312"/>
          <w:color w:val="0000FF"/>
          <w:lang w:eastAsia="zh-CN"/>
        </w:rPr>
        <w:t>、</w:t>
      </w:r>
      <w:r>
        <w:rPr>
          <w:rFonts w:hint="eastAsia" w:ascii="仿宋_GB2312"/>
          <w:color w:val="0000FF"/>
          <w:lang w:val="en-US" w:eastAsia="zh-CN"/>
        </w:rPr>
        <w:t>浙江自贸区</w:t>
      </w:r>
      <w:r>
        <w:rPr>
          <w:rFonts w:hint="eastAsia" w:ascii="仿宋_GB2312"/>
          <w:color w:val="0000FF"/>
        </w:rPr>
        <w:t>等政策</w:t>
      </w:r>
      <w:r>
        <w:rPr>
          <w:rFonts w:hint="eastAsia" w:ascii="仿宋_GB2312"/>
          <w:color w:val="0000FF"/>
          <w:lang w:val="en-US" w:eastAsia="zh-CN"/>
        </w:rPr>
        <w:t>进一步释放改革红利</w:t>
      </w:r>
      <w:r>
        <w:rPr>
          <w:rFonts w:hint="eastAsia" w:ascii="仿宋_GB2312"/>
          <w:color w:val="0000FF"/>
        </w:rPr>
        <w:t>，</w:t>
      </w:r>
      <w:r>
        <w:rPr>
          <w:rFonts w:hint="eastAsia" w:ascii="仿宋_GB2312"/>
          <w:color w:val="0000FF"/>
          <w:lang w:val="en-US" w:eastAsia="zh-CN"/>
        </w:rPr>
        <w:t>以数字化改革引领华侨投资高质量发展</w:t>
      </w:r>
      <w:r>
        <w:rPr>
          <w:rFonts w:hint="eastAsia" w:ascii="仿宋_GB2312"/>
          <w:color w:val="0000FF"/>
        </w:rPr>
        <w:t>，率先在</w:t>
      </w:r>
      <w:r>
        <w:rPr>
          <w:rFonts w:hint="eastAsia" w:ascii="仿宋_GB2312"/>
          <w:color w:val="0000FF"/>
          <w:lang w:val="en-US" w:eastAsia="zh-CN"/>
        </w:rPr>
        <w:t>巩固扩大有效</w:t>
      </w:r>
      <w:r>
        <w:rPr>
          <w:rFonts w:hint="eastAsia" w:ascii="仿宋_GB2312"/>
          <w:color w:val="0000FF"/>
        </w:rPr>
        <w:t>投资</w:t>
      </w:r>
      <w:r>
        <w:rPr>
          <w:rFonts w:hint="eastAsia" w:ascii="仿宋_GB2312"/>
          <w:color w:val="0000FF"/>
          <w:lang w:eastAsia="zh-CN"/>
        </w:rPr>
        <w:t>、</w:t>
      </w:r>
      <w:r>
        <w:rPr>
          <w:rFonts w:hint="eastAsia" w:ascii="仿宋_GB2312"/>
          <w:color w:val="0000FF"/>
        </w:rPr>
        <w:t>生态工业投资项目</w:t>
      </w:r>
      <w:r>
        <w:rPr>
          <w:rFonts w:hint="eastAsia" w:ascii="仿宋_GB2312"/>
          <w:color w:val="0000FF"/>
          <w:lang w:val="en-US" w:eastAsia="zh-CN"/>
        </w:rPr>
        <w:t>改革、“亩均论英雄”改革、营商环境建设等</w:t>
      </w:r>
      <w:r>
        <w:rPr>
          <w:rFonts w:hint="eastAsia" w:ascii="仿宋_GB2312"/>
          <w:color w:val="0000FF"/>
        </w:rPr>
        <w:t>方面取得先行突破。</w:t>
      </w:r>
    </w:p>
    <w:p>
      <w:pPr>
        <w:pStyle w:val="38"/>
        <w:spacing w:line="560" w:lineRule="exact"/>
        <w:rPr>
          <w:rFonts w:hint="eastAsia" w:ascii="仿宋_GB2312"/>
          <w:color w:val="0000FF"/>
        </w:rPr>
      </w:pPr>
      <w:r>
        <w:rPr>
          <w:rFonts w:hint="eastAsia" w:ascii="楷体_GB2312" w:eastAsia="楷体_GB2312"/>
          <w:b/>
          <w:bCs/>
          <w:color w:val="0000FF"/>
        </w:rPr>
        <w:t>3.全省生态工业试点区。</w:t>
      </w:r>
      <w:r>
        <w:rPr>
          <w:rFonts w:hint="eastAsia" w:ascii="仿宋_GB2312"/>
          <w:color w:val="0000FF"/>
        </w:rPr>
        <w:t>立足生态禀赋和能源优势</w:t>
      </w:r>
      <w:r>
        <w:rPr>
          <w:rFonts w:hint="eastAsia" w:ascii="仿宋_GB2312"/>
          <w:color w:val="0000FF"/>
          <w:lang w:eastAsia="zh-CN"/>
        </w:rPr>
        <w:t>，</w:t>
      </w:r>
      <w:r>
        <w:rPr>
          <w:rFonts w:hint="eastAsia" w:ascii="仿宋_GB2312"/>
          <w:color w:val="0000FF"/>
          <w:lang w:val="en-US" w:eastAsia="zh-CN"/>
        </w:rPr>
        <w:t>放大</w:t>
      </w:r>
      <w:r>
        <w:rPr>
          <w:rFonts w:hint="eastAsia" w:ascii="仿宋_GB2312"/>
          <w:color w:val="0000FF"/>
        </w:rPr>
        <w:t>青田商贸、旅游等优势，率先落实碳达峰、碳中和要求,深化产城人文融合发展、贸工技数融合发展、国际国内市场融合发展，</w:t>
      </w:r>
      <w:r>
        <w:rPr>
          <w:rFonts w:hint="eastAsia" w:ascii="仿宋_GB2312"/>
          <w:color w:val="0000FF"/>
          <w:lang w:val="en-US" w:eastAsia="zh-CN"/>
        </w:rPr>
        <w:t>在</w:t>
      </w:r>
      <w:r>
        <w:rPr>
          <w:rFonts w:hint="eastAsia" w:ascii="仿宋_GB2312"/>
          <w:color w:val="0000FF"/>
        </w:rPr>
        <w:t>全面促进生态工业、生态农业、生态旅游、生态服务业融合发展</w:t>
      </w:r>
      <w:r>
        <w:rPr>
          <w:rFonts w:hint="eastAsia" w:ascii="仿宋_GB2312"/>
          <w:color w:val="0000FF"/>
          <w:lang w:val="en-US" w:eastAsia="zh-CN"/>
        </w:rPr>
        <w:t>等</w:t>
      </w:r>
      <w:r>
        <w:rPr>
          <w:rFonts w:hint="eastAsia" w:ascii="仿宋_GB2312"/>
          <w:color w:val="0000FF"/>
        </w:rPr>
        <w:t>方面取得集成创新。</w:t>
      </w:r>
    </w:p>
    <w:p>
      <w:pPr>
        <w:pStyle w:val="4"/>
        <w:spacing w:line="560" w:lineRule="exact"/>
        <w:ind w:firstLine="602"/>
        <w:contextualSpacing/>
        <w:rPr>
          <w:rFonts w:ascii="楷体_GB2312" w:eastAsia="楷体_GB2312"/>
          <w:color w:val="000000"/>
        </w:rPr>
      </w:pPr>
      <w:bookmarkStart w:id="12" w:name="_Toc1446"/>
      <w:r>
        <w:rPr>
          <w:rFonts w:hint="eastAsia" w:ascii="楷体_GB2312" w:eastAsia="楷体_GB2312"/>
          <w:color w:val="000000"/>
        </w:rPr>
        <w:t>（</w:t>
      </w:r>
      <w:r>
        <w:rPr>
          <w:rFonts w:hint="eastAsia" w:ascii="楷体_GB2312" w:eastAsia="楷体_GB2312"/>
          <w:color w:val="000000"/>
          <w:lang w:val="en-US" w:eastAsia="zh-CN"/>
        </w:rPr>
        <w:t>四</w:t>
      </w:r>
      <w:r>
        <w:rPr>
          <w:rFonts w:hint="eastAsia" w:ascii="楷体_GB2312" w:eastAsia="楷体_GB2312"/>
          <w:color w:val="000000"/>
        </w:rPr>
        <w:t>）发展目标</w:t>
      </w:r>
      <w:bookmarkEnd w:id="12"/>
    </w:p>
    <w:p>
      <w:pPr>
        <w:pStyle w:val="38"/>
        <w:spacing w:line="560" w:lineRule="exact"/>
        <w:rPr>
          <w:rFonts w:hint="eastAsia" w:ascii="仿宋_GB2312"/>
          <w:color w:val="000000"/>
        </w:rPr>
      </w:pPr>
      <w:r>
        <w:rPr>
          <w:rFonts w:hint="eastAsia" w:ascii="楷体_GB2312" w:eastAsia="楷体_GB2312"/>
          <w:b/>
          <w:bCs/>
          <w:color w:val="000000"/>
        </w:rPr>
        <w:t>——总量规模倍增。</w:t>
      </w:r>
      <w:r>
        <w:rPr>
          <w:rFonts w:hint="eastAsia" w:ascii="仿宋_GB2312"/>
        </w:rPr>
        <w:t>力争到2</w:t>
      </w:r>
      <w:r>
        <w:rPr>
          <w:rFonts w:ascii="仿宋_GB2312"/>
        </w:rPr>
        <w:t>025</w:t>
      </w:r>
      <w:r>
        <w:rPr>
          <w:rFonts w:hint="eastAsia" w:ascii="仿宋_GB2312"/>
        </w:rPr>
        <w:t>年，</w:t>
      </w:r>
      <w:r>
        <w:rPr>
          <w:rFonts w:hint="eastAsia" w:ascii="仿宋_GB2312"/>
          <w:color w:val="000000"/>
        </w:rPr>
        <w:t>工业</w:t>
      </w:r>
      <w:r>
        <w:rPr>
          <w:rFonts w:hint="eastAsia" w:ascii="仿宋_GB2312"/>
          <w:color w:val="000000"/>
          <w:lang w:val="en-US" w:eastAsia="zh-CN"/>
        </w:rPr>
        <w:t>总</w:t>
      </w:r>
      <w:r>
        <w:rPr>
          <w:rFonts w:hint="eastAsia" w:ascii="仿宋_GB2312"/>
          <w:color w:val="000000"/>
        </w:rPr>
        <w:t>产值年均增长15%左右，力争规模以上工业产值、工业总产值实现翻番</w:t>
      </w:r>
      <w:r>
        <w:rPr>
          <w:rFonts w:hint="eastAsia" w:ascii="仿宋_GB2312"/>
          <w:color w:val="000000"/>
          <w:lang w:eastAsia="zh-CN"/>
        </w:rPr>
        <w:t>。</w:t>
      </w:r>
      <w:r>
        <w:rPr>
          <w:rFonts w:hint="eastAsia" w:ascii="仿宋_GB2312"/>
          <w:color w:val="000000"/>
        </w:rPr>
        <w:t>全面推进工业平台“二次创业”，加快形成“万亩千亿”发展新空间，</w:t>
      </w:r>
      <w:r>
        <w:rPr>
          <w:rFonts w:hint="eastAsia" w:ascii="仿宋_GB2312"/>
          <w:color w:val="000000"/>
          <w:lang w:val="en-US" w:eastAsia="zh-CN"/>
        </w:rPr>
        <w:t>培育</w:t>
      </w:r>
      <w:r>
        <w:rPr>
          <w:rFonts w:hint="eastAsia" w:ascii="仿宋_GB2312"/>
          <w:color w:val="000000"/>
        </w:rPr>
        <w:t>万亩千亿新产业发展平台</w:t>
      </w:r>
      <w:r>
        <w:rPr>
          <w:rFonts w:hint="eastAsia" w:ascii="仿宋_GB2312"/>
          <w:color w:val="000000"/>
          <w:lang w:val="en-US" w:eastAsia="zh-CN"/>
        </w:rPr>
        <w:t>1个，全县</w:t>
      </w:r>
      <w:r>
        <w:rPr>
          <w:rFonts w:hint="eastAsia" w:ascii="仿宋_GB2312"/>
          <w:color w:val="000000"/>
        </w:rPr>
        <w:t>累计引进亿元以上项目5</w:t>
      </w:r>
      <w:r>
        <w:rPr>
          <w:rFonts w:ascii="仿宋_GB2312"/>
          <w:color w:val="000000"/>
        </w:rPr>
        <w:t>0</w:t>
      </w:r>
      <w:r>
        <w:rPr>
          <w:rFonts w:hint="eastAsia" w:ascii="仿宋_GB2312"/>
          <w:color w:val="000000"/>
        </w:rPr>
        <w:t>个以上，累计完成制造业投资1</w:t>
      </w:r>
      <w:r>
        <w:rPr>
          <w:rFonts w:ascii="仿宋_GB2312"/>
          <w:color w:val="000000"/>
        </w:rPr>
        <w:t>00</w:t>
      </w:r>
      <w:r>
        <w:rPr>
          <w:rFonts w:hint="eastAsia" w:ascii="仿宋_GB2312"/>
          <w:color w:val="000000"/>
        </w:rPr>
        <w:t>亿元以上，年均增长1</w:t>
      </w:r>
      <w:r>
        <w:rPr>
          <w:rFonts w:ascii="仿宋_GB2312"/>
          <w:color w:val="000000"/>
        </w:rPr>
        <w:t>2</w:t>
      </w:r>
      <w:r>
        <w:rPr>
          <w:rFonts w:hint="eastAsia" w:ascii="仿宋_GB2312"/>
          <w:color w:val="000000"/>
        </w:rPr>
        <w:t>%以上。</w:t>
      </w:r>
    </w:p>
    <w:p>
      <w:pPr>
        <w:pStyle w:val="38"/>
        <w:spacing w:line="560" w:lineRule="exact"/>
        <w:rPr>
          <w:rFonts w:ascii="仿宋_GB2312"/>
          <w:color w:val="000000"/>
        </w:rPr>
      </w:pPr>
      <w:r>
        <w:rPr>
          <w:rFonts w:hint="eastAsia" w:ascii="楷体_GB2312" w:eastAsia="楷体_GB2312"/>
          <w:b/>
          <w:bCs/>
          <w:color w:val="000000"/>
        </w:rPr>
        <w:t>——质量效益提升。</w:t>
      </w:r>
      <w:r>
        <w:rPr>
          <w:rFonts w:hint="eastAsia" w:ascii="仿宋_GB2312"/>
        </w:rPr>
        <w:t>力争到2</w:t>
      </w:r>
      <w:r>
        <w:rPr>
          <w:rFonts w:ascii="仿宋_GB2312"/>
        </w:rPr>
        <w:t>025</w:t>
      </w:r>
      <w:r>
        <w:rPr>
          <w:rFonts w:hint="eastAsia" w:ascii="仿宋_GB2312"/>
          <w:lang w:val="en-US" w:eastAsia="zh-CN"/>
        </w:rPr>
        <w:t>年</w:t>
      </w:r>
      <w:r>
        <w:rPr>
          <w:rFonts w:hint="eastAsia" w:ascii="仿宋_GB2312"/>
        </w:rPr>
        <w:t>，规模以上工业全员劳动生产率达到3</w:t>
      </w:r>
      <w:r>
        <w:rPr>
          <w:rFonts w:ascii="仿宋_GB2312"/>
        </w:rPr>
        <w:t>0</w:t>
      </w:r>
      <w:r>
        <w:rPr>
          <w:rFonts w:hint="eastAsia" w:ascii="仿宋_GB2312"/>
        </w:rPr>
        <w:t>万元/人</w:t>
      </w:r>
      <w:r>
        <w:rPr>
          <w:rFonts w:ascii="Verdana" w:hAnsi="Verdana"/>
        </w:rPr>
        <w:t>▪</w:t>
      </w:r>
      <w:r>
        <w:rPr>
          <w:rFonts w:hint="eastAsia" w:ascii="仿宋_GB2312"/>
        </w:rPr>
        <w:t>年</w:t>
      </w:r>
      <w:r>
        <w:rPr>
          <w:rFonts w:hint="eastAsia" w:ascii="仿宋_GB2312"/>
          <w:color w:val="000000"/>
        </w:rPr>
        <w:t>；规模以上工业亩均增加值保持在150万元以上、亩均税收达到35万元，位列全省前列。规模以上工业增加值率达到20.0%、主营业务收入利润率达到7.0%。</w:t>
      </w:r>
    </w:p>
    <w:p>
      <w:pPr>
        <w:pStyle w:val="38"/>
        <w:spacing w:line="560" w:lineRule="exact"/>
        <w:rPr>
          <w:rFonts w:ascii="仿宋_GB2312"/>
          <w:color w:val="000000"/>
        </w:rPr>
      </w:pPr>
      <w:r>
        <w:rPr>
          <w:rFonts w:hint="eastAsia" w:ascii="楷体_GB2312" w:eastAsia="楷体_GB2312"/>
          <w:b/>
          <w:bCs/>
          <w:color w:val="000000"/>
        </w:rPr>
        <w:t>——</w:t>
      </w:r>
      <w:r>
        <w:rPr>
          <w:rFonts w:hint="eastAsia" w:ascii="楷体_GB2312" w:eastAsia="楷体_GB2312"/>
          <w:b/>
          <w:bCs/>
          <w:color w:val="000000"/>
          <w:lang w:val="en-US" w:eastAsia="zh-CN"/>
        </w:rPr>
        <w:t>新旧动能转化</w:t>
      </w:r>
      <w:r>
        <w:rPr>
          <w:rFonts w:hint="eastAsia" w:ascii="楷体_GB2312" w:eastAsia="楷体_GB2312"/>
          <w:b/>
          <w:bCs/>
          <w:color w:val="000000"/>
        </w:rPr>
        <w:t>。</w:t>
      </w:r>
      <w:r>
        <w:rPr>
          <w:rFonts w:hint="eastAsia" w:ascii="仿宋_GB2312"/>
          <w:color w:val="000000"/>
        </w:rPr>
        <w:t>力争到2</w:t>
      </w:r>
      <w:r>
        <w:rPr>
          <w:rFonts w:ascii="仿宋_GB2312"/>
          <w:color w:val="000000"/>
        </w:rPr>
        <w:t>025</w:t>
      </w:r>
      <w:r>
        <w:rPr>
          <w:rFonts w:hint="eastAsia" w:ascii="仿宋_GB2312"/>
          <w:color w:val="000000"/>
        </w:rPr>
        <w:t>年，数字经济核心产业增加值占GDP比重</w:t>
      </w:r>
      <w:r>
        <w:rPr>
          <w:rFonts w:hint="eastAsia" w:ascii="仿宋_GB2312"/>
          <w:color w:val="000000"/>
          <w:lang w:val="en-US" w:eastAsia="zh-CN"/>
        </w:rPr>
        <w:t>进一步提升，</w:t>
      </w:r>
      <w:r>
        <w:rPr>
          <w:rFonts w:hint="eastAsia" w:ascii="仿宋_GB2312"/>
          <w:color w:val="000000"/>
        </w:rPr>
        <w:t>高新技术产业增加值占规模以上工业比重达到4</w:t>
      </w:r>
      <w:r>
        <w:rPr>
          <w:rFonts w:ascii="仿宋_GB2312"/>
          <w:color w:val="000000"/>
        </w:rPr>
        <w:t>0</w:t>
      </w:r>
      <w:r>
        <w:rPr>
          <w:rFonts w:hint="eastAsia" w:ascii="仿宋_GB2312"/>
          <w:color w:val="000000"/>
        </w:rPr>
        <w:t>%；战略性新兴产业增加值占规模以上工业比重达到</w:t>
      </w:r>
      <w:r>
        <w:rPr>
          <w:rFonts w:ascii="仿宋_GB2312"/>
          <w:color w:val="000000"/>
        </w:rPr>
        <w:t>22</w:t>
      </w:r>
      <w:r>
        <w:rPr>
          <w:rFonts w:hint="eastAsia" w:ascii="仿宋_GB2312"/>
          <w:color w:val="000000"/>
        </w:rPr>
        <w:t>%；装备制造业增加值占规模以上工业比重达到3</w:t>
      </w:r>
      <w:r>
        <w:rPr>
          <w:rFonts w:ascii="仿宋_GB2312"/>
          <w:color w:val="000000"/>
        </w:rPr>
        <w:t>0</w:t>
      </w:r>
      <w:r>
        <w:rPr>
          <w:rFonts w:hint="eastAsia" w:ascii="仿宋_GB2312"/>
          <w:color w:val="000000"/>
        </w:rPr>
        <w:t>%；规上工业企业研发费用占营业收入比重</w:t>
      </w:r>
      <w:r>
        <w:rPr>
          <w:rFonts w:hint="eastAsia" w:ascii="仿宋_GB2312"/>
          <w:color w:val="000000"/>
          <w:lang w:val="en-US" w:eastAsia="zh-CN"/>
        </w:rPr>
        <w:t>进一步提升，</w:t>
      </w:r>
      <w:r>
        <w:rPr>
          <w:rFonts w:hint="eastAsia" w:ascii="仿宋_GB2312"/>
          <w:color w:val="000000"/>
        </w:rPr>
        <w:t>新产品产值率达到5</w:t>
      </w:r>
      <w:r>
        <w:rPr>
          <w:rFonts w:ascii="仿宋_GB2312"/>
          <w:color w:val="000000"/>
        </w:rPr>
        <w:t>0</w:t>
      </w:r>
      <w:r>
        <w:rPr>
          <w:rFonts w:hint="eastAsia" w:ascii="仿宋_GB2312"/>
          <w:color w:val="000000"/>
        </w:rPr>
        <w:t>%以上。</w:t>
      </w:r>
    </w:p>
    <w:p>
      <w:pPr>
        <w:pStyle w:val="38"/>
        <w:spacing w:line="560" w:lineRule="exact"/>
        <w:rPr>
          <w:rFonts w:ascii="仿宋_GB2312"/>
          <w:color w:val="000000"/>
        </w:rPr>
      </w:pPr>
      <w:r>
        <w:rPr>
          <w:rFonts w:hint="eastAsia" w:ascii="楷体_GB2312" w:eastAsia="楷体_GB2312"/>
          <w:b/>
          <w:bCs/>
          <w:color w:val="000000"/>
        </w:rPr>
        <w:t>——</w:t>
      </w:r>
      <w:r>
        <w:rPr>
          <w:rFonts w:hint="eastAsia" w:ascii="楷体_GB2312" w:eastAsia="楷体_GB2312"/>
          <w:b/>
          <w:bCs/>
          <w:color w:val="000000"/>
          <w:lang w:val="en-US" w:eastAsia="zh-CN"/>
        </w:rPr>
        <w:t>名企培育做强</w:t>
      </w:r>
      <w:r>
        <w:rPr>
          <w:rFonts w:hint="eastAsia" w:ascii="楷体_GB2312" w:eastAsia="楷体_GB2312"/>
          <w:b/>
          <w:bCs/>
          <w:color w:val="000000"/>
        </w:rPr>
        <w:t>。</w:t>
      </w:r>
      <w:r>
        <w:rPr>
          <w:rFonts w:hint="eastAsia" w:ascii="仿宋_GB2312"/>
          <w:color w:val="000000"/>
        </w:rPr>
        <w:t>力争到2</w:t>
      </w:r>
      <w:r>
        <w:rPr>
          <w:rFonts w:ascii="仿宋_GB2312"/>
          <w:color w:val="000000"/>
        </w:rPr>
        <w:t>025</w:t>
      </w:r>
      <w:r>
        <w:rPr>
          <w:rFonts w:hint="eastAsia" w:ascii="仿宋_GB2312"/>
          <w:color w:val="000000"/>
        </w:rPr>
        <w:t>年，园区内企业主体竞争力进一步提升，规模以上工业企业数量实现翻番，培育形成规模以上工业企业3</w:t>
      </w:r>
      <w:r>
        <w:rPr>
          <w:rFonts w:ascii="仿宋_GB2312"/>
          <w:color w:val="000000"/>
        </w:rPr>
        <w:t>40</w:t>
      </w:r>
      <w:r>
        <w:rPr>
          <w:rFonts w:hint="eastAsia" w:ascii="仿宋_GB2312"/>
          <w:color w:val="000000"/>
        </w:rPr>
        <w:t>家</w:t>
      </w:r>
      <w:r>
        <w:rPr>
          <w:rFonts w:hint="eastAsia" w:ascii="仿宋_GB2312"/>
          <w:color w:val="000000"/>
          <w:lang w:eastAsia="zh-CN"/>
        </w:rPr>
        <w:t>。</w:t>
      </w:r>
      <w:r>
        <w:rPr>
          <w:rFonts w:hint="eastAsia" w:ascii="仿宋_GB2312"/>
          <w:color w:val="000000"/>
        </w:rPr>
        <w:t>其中</w:t>
      </w:r>
      <w:r>
        <w:rPr>
          <w:rFonts w:hint="eastAsia" w:ascii="仿宋_GB2312"/>
          <w:color w:val="000000"/>
          <w:lang w:eastAsia="zh-CN"/>
        </w:rPr>
        <w:t>，</w:t>
      </w:r>
      <w:r>
        <w:rPr>
          <w:rFonts w:hint="eastAsia" w:ascii="仿宋_GB2312"/>
          <w:color w:val="0000FF"/>
        </w:rPr>
        <w:t>百亿级企业（集团）</w:t>
      </w:r>
      <w:r>
        <w:rPr>
          <w:rFonts w:hint="eastAsia" w:ascii="仿宋_GB2312"/>
          <w:color w:val="0000FF"/>
          <w:lang w:val="en-US" w:eastAsia="zh-CN"/>
        </w:rPr>
        <w:t>培育对象</w:t>
      </w:r>
      <w:r>
        <w:rPr>
          <w:rFonts w:hint="eastAsia" w:ascii="仿宋_GB2312"/>
          <w:color w:val="0000FF"/>
        </w:rPr>
        <w:t>2家，十亿级企业</w:t>
      </w:r>
      <w:r>
        <w:rPr>
          <w:rFonts w:hint="eastAsia" w:ascii="仿宋_GB2312"/>
          <w:color w:val="0000FF"/>
          <w:lang w:val="en-US" w:eastAsia="zh-CN"/>
        </w:rPr>
        <w:t>培育对象</w:t>
      </w:r>
      <w:r>
        <w:rPr>
          <w:rFonts w:hint="eastAsia" w:ascii="仿宋_GB2312"/>
          <w:color w:val="0000FF"/>
        </w:rPr>
        <w:t>2</w:t>
      </w:r>
      <w:r>
        <w:rPr>
          <w:rFonts w:ascii="仿宋_GB2312"/>
          <w:color w:val="0000FF"/>
        </w:rPr>
        <w:t>0</w:t>
      </w:r>
      <w:r>
        <w:rPr>
          <w:rFonts w:hint="eastAsia" w:ascii="仿宋_GB2312"/>
          <w:color w:val="0000FF"/>
        </w:rPr>
        <w:t>家；</w:t>
      </w:r>
      <w:r>
        <w:rPr>
          <w:rFonts w:hint="eastAsia" w:ascii="仿宋_GB2312"/>
          <w:color w:val="000000"/>
        </w:rPr>
        <w:t>主板上市企业（含境外、新三板挂牌）</w:t>
      </w:r>
      <w:r>
        <w:rPr>
          <w:rFonts w:hint="eastAsia" w:ascii="仿宋_GB2312"/>
          <w:color w:val="000000"/>
          <w:lang w:val="en-US" w:eastAsia="zh-CN"/>
        </w:rPr>
        <w:t>培育对象</w:t>
      </w:r>
      <w:r>
        <w:rPr>
          <w:rFonts w:hint="eastAsia" w:ascii="仿宋_GB2312"/>
          <w:color w:val="000000"/>
        </w:rPr>
        <w:t>10家；省级隐形冠军</w:t>
      </w:r>
      <w:r>
        <w:rPr>
          <w:rFonts w:hint="eastAsia" w:ascii="仿宋_GB2312"/>
          <w:color w:val="000000"/>
          <w:lang w:val="en-US" w:eastAsia="zh-CN"/>
        </w:rPr>
        <w:t>培育对象</w:t>
      </w:r>
      <w:r>
        <w:rPr>
          <w:rFonts w:hint="eastAsia" w:ascii="仿宋_GB2312"/>
          <w:color w:val="000000"/>
        </w:rPr>
        <w:t>3家。</w:t>
      </w:r>
    </w:p>
    <w:p>
      <w:pPr>
        <w:pStyle w:val="38"/>
        <w:spacing w:line="560" w:lineRule="exact"/>
        <w:rPr>
          <w:rFonts w:hint="eastAsia" w:ascii="仿宋_GB2312"/>
          <w:color w:val="000000"/>
          <w:lang w:eastAsia="zh-CN"/>
        </w:rPr>
      </w:pPr>
      <w:r>
        <w:rPr>
          <w:rFonts w:hint="eastAsia" w:ascii="楷体_GB2312" w:eastAsia="楷体_GB2312"/>
          <w:b/>
          <w:bCs/>
          <w:color w:val="000000"/>
        </w:rPr>
        <w:t>——绿色集约发展。</w:t>
      </w:r>
      <w:bookmarkStart w:id="13" w:name="_Hlk62855634"/>
      <w:r>
        <w:rPr>
          <w:rFonts w:hint="eastAsia" w:ascii="仿宋_GB2312"/>
          <w:color w:val="000000"/>
        </w:rPr>
        <w:t>力争到2</w:t>
      </w:r>
      <w:r>
        <w:rPr>
          <w:rFonts w:ascii="仿宋_GB2312"/>
          <w:color w:val="000000"/>
        </w:rPr>
        <w:t>025</w:t>
      </w:r>
      <w:r>
        <w:rPr>
          <w:rFonts w:hint="eastAsia" w:ascii="仿宋_GB2312"/>
          <w:color w:val="000000"/>
        </w:rPr>
        <w:t>年，</w:t>
      </w:r>
      <w:bookmarkEnd w:id="13"/>
      <w:r>
        <w:rPr>
          <w:rFonts w:hint="eastAsia" w:ascii="仿宋_GB2312"/>
          <w:color w:val="000000"/>
        </w:rPr>
        <w:t>规模以上生态工业企业单位G</w:t>
      </w:r>
      <w:r>
        <w:rPr>
          <w:rFonts w:ascii="仿宋_GB2312"/>
          <w:color w:val="000000"/>
        </w:rPr>
        <w:t>DP</w:t>
      </w:r>
      <w:r>
        <w:rPr>
          <w:rFonts w:hint="eastAsia" w:ascii="仿宋_GB2312"/>
          <w:color w:val="000000"/>
        </w:rPr>
        <w:t>能耗、单位G</w:t>
      </w:r>
      <w:r>
        <w:rPr>
          <w:rFonts w:ascii="仿宋_GB2312"/>
          <w:color w:val="000000"/>
        </w:rPr>
        <w:t>DP</w:t>
      </w:r>
      <w:r>
        <w:rPr>
          <w:rFonts w:hint="eastAsia" w:ascii="仿宋_GB2312"/>
          <w:color w:val="000000"/>
        </w:rPr>
        <w:t>工业废水排放量大幅下降，工业固体废物综合利用率有效提升，高端不锈钢产业吨钢综合能耗处于全国领先。主要行业单位产品能耗、二氧化碳碳排放达到世界先进水平，力争工业领域重点行业二氧化碳排放在2025年左右率先达峰</w:t>
      </w:r>
      <w:r>
        <w:rPr>
          <w:rFonts w:hint="eastAsia" w:ascii="仿宋_GB2312"/>
          <w:color w:val="000000"/>
          <w:lang w:eastAsia="zh-CN"/>
        </w:rPr>
        <w:t>。</w:t>
      </w:r>
    </w:p>
    <w:p>
      <w:pPr>
        <w:pStyle w:val="33"/>
        <w:ind w:firstLine="562"/>
        <w:rPr>
          <w:rFonts w:hint="default" w:ascii="Times New Roman" w:hAnsi="Times New Roman" w:eastAsia="楷体_GB2312" w:cs="Times New Roman"/>
          <w:color w:val="0000FF"/>
          <w:szCs w:val="20"/>
        </w:rPr>
      </w:pPr>
      <w:r>
        <w:rPr>
          <w:rFonts w:hint="eastAsia" w:ascii="楷体_GB2312" w:hAnsi="楷体_GB2312" w:eastAsia="楷体_GB2312" w:cs="楷体_GB2312"/>
          <w:color w:val="0000FF"/>
          <w:szCs w:val="20"/>
          <w:lang w:val="en-US" w:eastAsia="zh-CN"/>
        </w:rPr>
        <w:t>表2-1  青田县</w:t>
      </w:r>
      <w:r>
        <w:rPr>
          <w:rFonts w:hint="eastAsia" w:ascii="楷体_GB2312" w:hAnsi="楷体_GB2312" w:eastAsia="楷体_GB2312" w:cs="楷体_GB2312"/>
          <w:color w:val="0000FF"/>
          <w:szCs w:val="20"/>
        </w:rPr>
        <w:t>“十</w:t>
      </w:r>
      <w:r>
        <w:rPr>
          <w:rFonts w:hint="eastAsia" w:ascii="楷体_GB2312" w:hAnsi="楷体_GB2312" w:eastAsia="楷体_GB2312" w:cs="楷体_GB2312"/>
          <w:color w:val="0000FF"/>
          <w:szCs w:val="20"/>
          <w:lang w:val="en-US" w:eastAsia="zh-CN"/>
        </w:rPr>
        <w:t>四</w:t>
      </w:r>
      <w:r>
        <w:rPr>
          <w:rFonts w:hint="eastAsia" w:ascii="楷体_GB2312" w:hAnsi="楷体_GB2312" w:eastAsia="楷体_GB2312" w:cs="楷体_GB2312"/>
          <w:color w:val="0000FF"/>
          <w:szCs w:val="20"/>
        </w:rPr>
        <w:t>五”</w:t>
      </w:r>
      <w:r>
        <w:rPr>
          <w:rFonts w:hint="eastAsia" w:ascii="楷体_GB2312" w:hAnsi="楷体_GB2312" w:eastAsia="楷体_GB2312" w:cs="楷体_GB2312"/>
          <w:color w:val="0000FF"/>
          <w:szCs w:val="20"/>
          <w:lang w:val="en-US" w:eastAsia="zh-CN"/>
        </w:rPr>
        <w:t>时期生态工业高质量</w:t>
      </w:r>
      <w:r>
        <w:rPr>
          <w:rFonts w:hint="eastAsia" w:ascii="楷体_GB2312" w:hAnsi="楷体_GB2312" w:eastAsia="楷体_GB2312" w:cs="楷体_GB2312"/>
          <w:color w:val="0000FF"/>
          <w:szCs w:val="20"/>
        </w:rPr>
        <w:t>发展主要目标</w:t>
      </w:r>
    </w:p>
    <w:tbl>
      <w:tblPr>
        <w:tblStyle w:val="21"/>
        <w:tblW w:w="9521" w:type="dxa"/>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52"/>
        <w:gridCol w:w="624"/>
        <w:gridCol w:w="4187"/>
        <w:gridCol w:w="974"/>
        <w:gridCol w:w="1069"/>
        <w:gridCol w:w="1009"/>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类别</w:t>
            </w:r>
          </w:p>
        </w:tc>
        <w:tc>
          <w:tcPr>
            <w:tcW w:w="624"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序号</w:t>
            </w:r>
          </w:p>
        </w:tc>
        <w:tc>
          <w:tcPr>
            <w:tcW w:w="4187"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指标名称</w:t>
            </w:r>
          </w:p>
        </w:tc>
        <w:tc>
          <w:tcPr>
            <w:tcW w:w="974"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单位</w:t>
            </w:r>
          </w:p>
        </w:tc>
        <w:tc>
          <w:tcPr>
            <w:tcW w:w="1069"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eastAsia="zh-CN"/>
              </w:rPr>
              <w:t>2020</w:t>
            </w:r>
            <w:r>
              <w:rPr>
                <w:rFonts w:hint="default" w:ascii="Times New Roman" w:hAnsi="Times New Roman" w:cs="Times New Roman"/>
                <w:b/>
                <w:color w:val="auto"/>
                <w:sz w:val="24"/>
                <w:szCs w:val="24"/>
              </w:rPr>
              <w:t>年</w:t>
            </w:r>
          </w:p>
        </w:tc>
        <w:tc>
          <w:tcPr>
            <w:tcW w:w="1009"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eastAsia="zh-CN"/>
              </w:rPr>
              <w:t>2025</w:t>
            </w:r>
            <w:r>
              <w:rPr>
                <w:rFonts w:hint="default" w:ascii="Times New Roman" w:hAnsi="Times New Roman" w:cs="Times New Roman"/>
                <w:b/>
                <w:color w:val="auto"/>
                <w:sz w:val="24"/>
                <w:szCs w:val="24"/>
              </w:rPr>
              <w:t>年</w:t>
            </w:r>
          </w:p>
        </w:tc>
        <w:tc>
          <w:tcPr>
            <w:tcW w:w="906" w:type="dxa"/>
            <w:shd w:val="clear" w:color="auto" w:fill="F1F1F1"/>
            <w:noWrap w:val="0"/>
            <w:vAlign w:val="center"/>
          </w:tcPr>
          <w:p>
            <w:pPr>
              <w:pStyle w:val="76"/>
              <w:spacing w:line="480" w:lineRule="auto"/>
              <w:ind w:firstLine="0" w:firstLineChar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restart"/>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规模</w:t>
            </w:r>
          </w:p>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cs="Times New Roman"/>
                <w:color w:val="auto"/>
                <w:sz w:val="24"/>
                <w:szCs w:val="24"/>
                <w:lang w:val="en-US" w:eastAsia="zh-CN"/>
              </w:rPr>
              <w:t>倍增</w:t>
            </w:r>
          </w:p>
        </w:tc>
        <w:tc>
          <w:tcPr>
            <w:tcW w:w="624" w:type="dxa"/>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ascii="Times New Roman" w:hAnsi="Times New Roman" w:cs="Times New Roman"/>
                <w:color w:val="auto"/>
                <w:sz w:val="24"/>
                <w:szCs w:val="24"/>
                <w:lang w:eastAsia="zh-CN"/>
              </w:rPr>
              <w:t>1</w:t>
            </w:r>
          </w:p>
        </w:tc>
        <w:tc>
          <w:tcPr>
            <w:tcW w:w="4187" w:type="dxa"/>
            <w:noWrap w:val="0"/>
            <w:vAlign w:val="center"/>
          </w:tcPr>
          <w:p>
            <w:pPr>
              <w:pStyle w:val="76"/>
              <w:spacing w:line="480" w:lineRule="auto"/>
              <w:ind w:firstLine="0" w:firstLineChars="0"/>
              <w:rPr>
                <w:rFonts w:hint="default"/>
                <w:sz w:val="24"/>
                <w:szCs w:val="24"/>
                <w:lang w:val="en-US" w:eastAsia="zh-CN"/>
              </w:rPr>
            </w:pPr>
            <w:r>
              <w:rPr>
                <w:rFonts w:hint="eastAsia"/>
                <w:sz w:val="24"/>
                <w:szCs w:val="24"/>
              </w:rPr>
              <w:t>生态工业总产值</w:t>
            </w:r>
          </w:p>
        </w:tc>
        <w:tc>
          <w:tcPr>
            <w:tcW w:w="974"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亿元</w:t>
            </w:r>
          </w:p>
        </w:tc>
        <w:tc>
          <w:tcPr>
            <w:tcW w:w="1069"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p>
        </w:tc>
        <w:tc>
          <w:tcPr>
            <w:tcW w:w="1009"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1000</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奋进</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ascii="Times New Roman" w:hAnsi="Times New Roman" w:cs="Times New Roman"/>
                <w:color w:val="auto"/>
                <w:sz w:val="24"/>
                <w:szCs w:val="24"/>
                <w:lang w:eastAsia="zh-CN"/>
              </w:rPr>
              <w:t>2</w:t>
            </w:r>
          </w:p>
        </w:tc>
        <w:tc>
          <w:tcPr>
            <w:tcW w:w="4187" w:type="dxa"/>
            <w:noWrap w:val="0"/>
            <w:vAlign w:val="center"/>
          </w:tcPr>
          <w:p>
            <w:pPr>
              <w:pStyle w:val="76"/>
              <w:spacing w:line="480" w:lineRule="auto"/>
              <w:ind w:firstLine="0" w:firstLineChars="0"/>
              <w:rPr>
                <w:rFonts w:hint="default"/>
                <w:sz w:val="24"/>
                <w:szCs w:val="24"/>
                <w:lang w:val="en-US" w:eastAsia="zh-CN"/>
              </w:rPr>
            </w:pPr>
            <w:r>
              <w:rPr>
                <w:rFonts w:hint="eastAsia"/>
                <w:sz w:val="24"/>
                <w:szCs w:val="24"/>
              </w:rPr>
              <w:t>规模以上工业增加值</w:t>
            </w:r>
          </w:p>
        </w:tc>
        <w:tc>
          <w:tcPr>
            <w:tcW w:w="974"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cs="Times New Roman"/>
                <w:color w:val="auto"/>
                <w:sz w:val="24"/>
                <w:szCs w:val="24"/>
              </w:rPr>
              <w:t>亿元</w:t>
            </w:r>
          </w:p>
        </w:tc>
        <w:tc>
          <w:tcPr>
            <w:tcW w:w="1069"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42</w:t>
            </w:r>
          </w:p>
        </w:tc>
        <w:tc>
          <w:tcPr>
            <w:tcW w:w="1009" w:type="dxa"/>
            <w:noWrap w:val="0"/>
            <w:vAlign w:val="center"/>
          </w:tcPr>
          <w:p>
            <w:pPr>
              <w:pStyle w:val="7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125</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eastAsia="zh-CN"/>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3</w:t>
            </w:r>
          </w:p>
        </w:tc>
        <w:tc>
          <w:tcPr>
            <w:tcW w:w="4187" w:type="dxa"/>
            <w:noWrap w:val="0"/>
            <w:vAlign w:val="center"/>
          </w:tcPr>
          <w:p>
            <w:pPr>
              <w:pStyle w:val="76"/>
              <w:spacing w:line="480" w:lineRule="auto"/>
              <w:ind w:firstLine="0" w:firstLineChars="0"/>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万亩千亿新产业发展平台</w:t>
            </w:r>
          </w:p>
        </w:tc>
        <w:tc>
          <w:tcPr>
            <w:tcW w:w="974"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个</w:t>
            </w:r>
          </w:p>
        </w:tc>
        <w:tc>
          <w:tcPr>
            <w:tcW w:w="1069"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p>
        </w:tc>
        <w:tc>
          <w:tcPr>
            <w:tcW w:w="1009" w:type="dxa"/>
            <w:noWrap w:val="0"/>
            <w:vAlign w:val="center"/>
          </w:tcPr>
          <w:p>
            <w:pPr>
              <w:pStyle w:val="7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1</w:t>
            </w:r>
          </w:p>
        </w:tc>
        <w:tc>
          <w:tcPr>
            <w:tcW w:w="906" w:type="dxa"/>
            <w:noWrap w:val="0"/>
            <w:vAlign w:val="center"/>
          </w:tcPr>
          <w:p>
            <w:pPr>
              <w:pStyle w:val="76"/>
              <w:spacing w:line="480" w:lineRule="auto"/>
              <w:ind w:firstLine="0" w:firstLineChars="0"/>
              <w:jc w:val="center"/>
              <w:rPr>
                <w:rFonts w:hint="eastAsia"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eastAsia="zh-CN"/>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2" w:type="dxa"/>
            <w:vMerge w:val="continue"/>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4</w:t>
            </w:r>
          </w:p>
        </w:tc>
        <w:tc>
          <w:tcPr>
            <w:tcW w:w="4187" w:type="dxa"/>
            <w:noWrap w:val="0"/>
            <w:vAlign w:val="center"/>
          </w:tcPr>
          <w:p>
            <w:pPr>
              <w:pStyle w:val="76"/>
              <w:spacing w:line="480" w:lineRule="auto"/>
              <w:ind w:firstLine="0" w:firstLineChars="0"/>
              <w:rPr>
                <w:rFonts w:hint="eastAsia"/>
                <w:sz w:val="24"/>
                <w:szCs w:val="24"/>
              </w:rPr>
            </w:pPr>
            <w:r>
              <w:rPr>
                <w:rFonts w:hint="eastAsia"/>
                <w:sz w:val="24"/>
                <w:szCs w:val="24"/>
              </w:rPr>
              <w:t>累计引进亿元以上项目</w:t>
            </w:r>
          </w:p>
        </w:tc>
        <w:tc>
          <w:tcPr>
            <w:tcW w:w="974"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项</w:t>
            </w:r>
          </w:p>
        </w:tc>
        <w:tc>
          <w:tcPr>
            <w:tcW w:w="1069" w:type="dxa"/>
            <w:noWrap w:val="0"/>
            <w:vAlign w:val="center"/>
          </w:tcPr>
          <w:p>
            <w:pPr>
              <w:pStyle w:val="76"/>
              <w:spacing w:line="480" w:lineRule="auto"/>
              <w:ind w:firstLine="0" w:firstLineChars="0"/>
              <w:jc w:val="center"/>
              <w:rPr>
                <w:rFonts w:hint="eastAsia" w:ascii="Times New Roman" w:hAnsi="Times New Roman" w:cs="Times New Roman"/>
                <w:color w:val="auto"/>
                <w:sz w:val="24"/>
                <w:szCs w:val="24"/>
                <w:lang w:val="en-US" w:eastAsia="zh-CN"/>
              </w:rPr>
            </w:pPr>
          </w:p>
        </w:tc>
        <w:tc>
          <w:tcPr>
            <w:tcW w:w="1009" w:type="dxa"/>
            <w:noWrap w:val="0"/>
            <w:vAlign w:val="center"/>
          </w:tcPr>
          <w:p>
            <w:pPr>
              <w:pStyle w:val="76"/>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24"/>
                <w:szCs w:val="24"/>
                <w:lang w:val="en-US" w:eastAsia="zh-CN"/>
              </w:rPr>
            </w:pPr>
            <w:r>
              <w:rPr>
                <w:rFonts w:hint="eastAsia" w:cs="Times New Roman"/>
                <w:color w:val="auto"/>
                <w:sz w:val="24"/>
                <w:szCs w:val="24"/>
                <w:lang w:val="en-US" w:eastAsia="zh-CN"/>
              </w:rPr>
              <w:t>50</w:t>
            </w:r>
          </w:p>
        </w:tc>
        <w:tc>
          <w:tcPr>
            <w:tcW w:w="906" w:type="dxa"/>
            <w:noWrap w:val="0"/>
            <w:vAlign w:val="center"/>
          </w:tcPr>
          <w:p>
            <w:pPr>
              <w:pStyle w:val="76"/>
              <w:spacing w:line="480" w:lineRule="auto"/>
              <w:ind w:firstLine="0" w:firstLineChars="0"/>
              <w:jc w:val="center"/>
              <w:rPr>
                <w:rFonts w:hint="eastAsia"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eastAsia="zh-CN"/>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restart"/>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质效</w:t>
            </w:r>
          </w:p>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并进</w:t>
            </w:r>
          </w:p>
        </w:tc>
        <w:tc>
          <w:tcPr>
            <w:tcW w:w="624" w:type="dxa"/>
            <w:shd w:val="clear" w:color="auto" w:fill="auto"/>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cs="Times New Roman"/>
                <w:color w:val="auto"/>
                <w:sz w:val="24"/>
                <w:szCs w:val="24"/>
                <w:lang w:val="en-US" w:eastAsia="zh-CN"/>
              </w:rPr>
              <w:t>5</w:t>
            </w:r>
          </w:p>
        </w:tc>
        <w:tc>
          <w:tcPr>
            <w:tcW w:w="4187" w:type="dxa"/>
            <w:shd w:val="clear" w:color="auto" w:fill="auto"/>
            <w:noWrap w:val="0"/>
            <w:vAlign w:val="center"/>
          </w:tcPr>
          <w:p>
            <w:pPr>
              <w:pStyle w:val="76"/>
              <w:spacing w:line="480" w:lineRule="auto"/>
              <w:ind w:firstLine="0" w:firstLineChars="0"/>
              <w:rPr>
                <w:rFonts w:hint="default" w:ascii="Times New Roman" w:hAnsi="Times New Roman" w:cs="Times New Roman"/>
                <w:color w:val="auto"/>
                <w:sz w:val="24"/>
                <w:szCs w:val="24"/>
              </w:rPr>
            </w:pPr>
            <w:r>
              <w:rPr>
                <w:rFonts w:hint="eastAsia" w:ascii="仿宋_GB2312"/>
                <w:sz w:val="24"/>
                <w:szCs w:val="24"/>
              </w:rPr>
              <w:t>规模以上工业全员劳动生产率</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FF0000"/>
                <w:sz w:val="24"/>
                <w:szCs w:val="24"/>
                <w:lang w:val="en-US" w:eastAsia="zh-CN"/>
              </w:rPr>
            </w:pPr>
          </w:p>
        </w:tc>
        <w:tc>
          <w:tcPr>
            <w:tcW w:w="1009" w:type="dxa"/>
            <w:shd w:val="clear" w:color="auto" w:fill="FFFFFF"/>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ascii="Times New Roman" w:hAnsi="Times New Roman" w:cs="Times New Roman"/>
                <w:color w:val="auto"/>
                <w:sz w:val="24"/>
                <w:szCs w:val="24"/>
                <w:lang w:eastAsia="zh-CN"/>
              </w:rPr>
              <w:t>7</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5</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shd w:val="clear" w:color="auto" w:fill="auto"/>
            <w:noWrap w:val="0"/>
            <w:vAlign w:val="center"/>
          </w:tcPr>
          <w:p>
            <w:pPr>
              <w:pStyle w:val="76"/>
              <w:spacing w:line="480" w:lineRule="auto"/>
              <w:ind w:firstLine="0" w:firstLineChars="0"/>
              <w:jc w:val="center"/>
              <w:rPr>
                <w:rFonts w:hint="eastAsia"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6</w:t>
            </w:r>
          </w:p>
        </w:tc>
        <w:tc>
          <w:tcPr>
            <w:tcW w:w="4187" w:type="dxa"/>
            <w:shd w:val="clear" w:color="auto" w:fill="auto"/>
            <w:noWrap w:val="0"/>
            <w:vAlign w:val="center"/>
          </w:tcPr>
          <w:p>
            <w:pPr>
              <w:pStyle w:val="76"/>
              <w:spacing w:line="480" w:lineRule="auto"/>
              <w:ind w:firstLine="0" w:firstLineChars="0"/>
              <w:rPr>
                <w:rFonts w:hint="default" w:ascii="Times New Roman" w:hAnsi="Times New Roman" w:eastAsia="仿宋_GB2312" w:cs="Times New Roman"/>
                <w:color w:val="auto"/>
                <w:kern w:val="2"/>
                <w:sz w:val="24"/>
                <w:szCs w:val="24"/>
                <w:lang w:val="en-US" w:eastAsia="zh-CN" w:bidi="ar-SA"/>
              </w:rPr>
            </w:pPr>
            <w:r>
              <w:rPr>
                <w:rFonts w:hint="eastAsia" w:ascii="仿宋_GB2312"/>
                <w:color w:val="000000"/>
                <w:sz w:val="24"/>
                <w:szCs w:val="24"/>
              </w:rPr>
              <w:t>规模以上工业亩均增加值</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eastAsia="黑体" w:cs="Times New Roman"/>
                <w:color w:val="FF0000"/>
                <w:kern w:val="2"/>
                <w:sz w:val="24"/>
                <w:szCs w:val="24"/>
                <w:lang w:val="en-US" w:eastAsia="zh-CN" w:bidi="ar-SA"/>
              </w:rPr>
            </w:pP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150</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7</w:t>
            </w:r>
          </w:p>
        </w:tc>
        <w:tc>
          <w:tcPr>
            <w:tcW w:w="4187" w:type="dxa"/>
            <w:shd w:val="clear" w:color="auto" w:fill="auto"/>
            <w:noWrap w:val="0"/>
            <w:vAlign w:val="center"/>
          </w:tcPr>
          <w:p>
            <w:pPr>
              <w:pStyle w:val="76"/>
              <w:spacing w:line="480" w:lineRule="auto"/>
              <w:ind w:firstLine="0" w:firstLineChars="0"/>
              <w:rPr>
                <w:rFonts w:hint="eastAsia" w:ascii="仿宋_GB2312"/>
                <w:color w:val="000000"/>
                <w:sz w:val="24"/>
                <w:szCs w:val="24"/>
              </w:rPr>
            </w:pPr>
            <w:r>
              <w:rPr>
                <w:rFonts w:hint="eastAsia" w:ascii="仿宋_GB2312"/>
                <w:color w:val="000000"/>
                <w:sz w:val="24"/>
                <w:szCs w:val="24"/>
              </w:rPr>
              <w:t>主营业务收入利润率</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1069" w:type="dxa"/>
            <w:shd w:val="clear" w:color="auto" w:fill="FFFFFF"/>
            <w:noWrap w:val="0"/>
            <w:vAlign w:val="center"/>
          </w:tcPr>
          <w:p>
            <w:pPr>
              <w:pStyle w:val="76"/>
              <w:spacing w:line="480" w:lineRule="auto"/>
              <w:ind w:firstLine="0" w:firstLineChars="0"/>
              <w:jc w:val="center"/>
              <w:rPr>
                <w:rFonts w:hint="eastAsia" w:eastAsia="黑体" w:cs="Times New Roman"/>
                <w:color w:val="auto"/>
                <w:sz w:val="24"/>
                <w:szCs w:val="24"/>
                <w:lang w:val="en-US" w:eastAsia="zh-CN"/>
              </w:rPr>
            </w:pPr>
          </w:p>
        </w:tc>
        <w:tc>
          <w:tcPr>
            <w:tcW w:w="1009" w:type="dxa"/>
            <w:shd w:val="clear" w:color="auto" w:fill="FFFFFF"/>
            <w:noWrap w:val="0"/>
            <w:vAlign w:val="center"/>
          </w:tcPr>
          <w:p>
            <w:pPr>
              <w:pStyle w:val="76"/>
              <w:spacing w:line="480" w:lineRule="auto"/>
              <w:ind w:firstLine="0" w:firstLineChars="0"/>
              <w:jc w:val="center"/>
              <w:rPr>
                <w:rFonts w:hint="default" w:cs="Times New Roman"/>
                <w:color w:val="auto"/>
                <w:sz w:val="24"/>
                <w:szCs w:val="24"/>
                <w:lang w:val="en-US" w:eastAsia="zh-CN"/>
              </w:rPr>
            </w:pPr>
            <w:r>
              <w:rPr>
                <w:rFonts w:hint="eastAsia" w:cs="Times New Roman"/>
                <w:color w:val="auto"/>
                <w:sz w:val="24"/>
                <w:szCs w:val="24"/>
                <w:lang w:val="en-US" w:eastAsia="zh-CN"/>
              </w:rPr>
              <w:t>7</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restart"/>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动能</w:t>
            </w:r>
          </w:p>
          <w:p>
            <w:pPr>
              <w:pStyle w:val="76"/>
              <w:spacing w:line="480" w:lineRule="auto"/>
              <w:ind w:firstLine="0" w:firstLineChars="0"/>
              <w:jc w:val="center"/>
              <w:rPr>
                <w:rFonts w:hint="default" w:ascii="Times New Roman" w:hAnsi="Times New Roman" w:eastAsia="仿宋_GB2312" w:cs="Times New Roman"/>
                <w:color w:val="auto"/>
                <w:sz w:val="24"/>
                <w:szCs w:val="24"/>
                <w:lang w:val="en-US" w:eastAsia="zh-CN"/>
              </w:rPr>
            </w:pPr>
            <w:r>
              <w:rPr>
                <w:rFonts w:hint="eastAsia" w:cs="Times New Roman"/>
                <w:color w:val="auto"/>
                <w:sz w:val="24"/>
                <w:szCs w:val="24"/>
                <w:lang w:val="en-US" w:eastAsia="zh-CN"/>
              </w:rPr>
              <w:t>转化</w:t>
            </w:r>
          </w:p>
        </w:tc>
        <w:tc>
          <w:tcPr>
            <w:tcW w:w="624" w:type="dxa"/>
            <w:shd w:val="clear" w:color="auto" w:fill="auto"/>
            <w:noWrap w:val="0"/>
            <w:vAlign w:val="center"/>
          </w:tcPr>
          <w:p>
            <w:pPr>
              <w:pStyle w:val="76"/>
              <w:spacing w:line="480" w:lineRule="auto"/>
              <w:ind w:firstLine="0" w:firstLineChars="0"/>
              <w:jc w:val="center"/>
              <w:rPr>
                <w:rFonts w:hint="eastAsia"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8</w:t>
            </w:r>
          </w:p>
        </w:tc>
        <w:tc>
          <w:tcPr>
            <w:tcW w:w="4187" w:type="dxa"/>
            <w:shd w:val="clear" w:color="auto" w:fill="auto"/>
            <w:noWrap w:val="0"/>
            <w:vAlign w:val="center"/>
          </w:tcPr>
          <w:p>
            <w:pPr>
              <w:pStyle w:val="76"/>
              <w:spacing w:line="480" w:lineRule="auto"/>
              <w:ind w:firstLine="0" w:firstLineChars="0"/>
              <w:rPr>
                <w:rFonts w:hint="default" w:ascii="Times New Roman" w:hAnsi="Times New Roman" w:cs="Times New Roman"/>
                <w:color w:val="auto"/>
                <w:w w:val="90"/>
                <w:sz w:val="24"/>
                <w:szCs w:val="24"/>
              </w:rPr>
            </w:pPr>
            <w:r>
              <w:rPr>
                <w:rFonts w:hint="eastAsia" w:ascii="仿宋_GB2312"/>
                <w:color w:val="000000"/>
                <w:sz w:val="24"/>
                <w:szCs w:val="24"/>
              </w:rPr>
              <w:t>数字经济核心产业增加值占GDP比重</w:t>
            </w:r>
          </w:p>
        </w:tc>
        <w:tc>
          <w:tcPr>
            <w:tcW w:w="974" w:type="dxa"/>
            <w:shd w:val="clear" w:color="auto" w:fill="auto"/>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val="en-US" w:eastAsia="zh-CN"/>
              </w:rPr>
            </w:pPr>
            <w:r>
              <w:rPr>
                <w:rFonts w:hint="eastAsia" w:cs="Times New Roman"/>
                <w:color w:val="auto"/>
                <w:sz w:val="24"/>
                <w:szCs w:val="24"/>
                <w:lang w:val="en-US" w:eastAsia="zh-CN"/>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highlight w:val="none"/>
                <w:lang w:val="en-US" w:eastAsia="zh-CN"/>
              </w:rPr>
            </w:pPr>
            <w:r>
              <w:rPr>
                <w:rFonts w:hint="eastAsia" w:cs="Times New Roman"/>
                <w:color w:val="auto"/>
                <w:sz w:val="24"/>
                <w:szCs w:val="24"/>
                <w:highlight w:val="none"/>
                <w:lang w:val="en-US" w:eastAsia="zh-CN"/>
              </w:rPr>
              <w:t>20</w:t>
            </w: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strike/>
                <w:dstrike w:val="0"/>
                <w:color w:val="auto"/>
                <w:sz w:val="24"/>
                <w:szCs w:val="24"/>
                <w:highlight w:val="none"/>
                <w:lang w:val="en-US" w:eastAsia="zh-CN"/>
              </w:rPr>
            </w:pPr>
            <w:r>
              <w:rPr>
                <w:rFonts w:hint="eastAsia" w:cs="Times New Roman"/>
                <w:strike/>
                <w:dstrike w:val="0"/>
                <w:color w:val="auto"/>
                <w:sz w:val="24"/>
                <w:szCs w:val="24"/>
                <w:highlight w:val="none"/>
                <w:lang w:val="en-US" w:eastAsia="zh-CN"/>
              </w:rPr>
              <w:t>40</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9</w:t>
            </w:r>
          </w:p>
        </w:tc>
        <w:tc>
          <w:tcPr>
            <w:tcW w:w="4187" w:type="dxa"/>
            <w:shd w:val="clear" w:color="auto" w:fill="auto"/>
            <w:noWrap w:val="0"/>
            <w:vAlign w:val="center"/>
          </w:tcPr>
          <w:p>
            <w:pPr>
              <w:pStyle w:val="76"/>
              <w:spacing w:line="480" w:lineRule="auto"/>
              <w:ind w:firstLine="0" w:firstLineChars="0"/>
              <w:rPr>
                <w:rFonts w:hint="default" w:ascii="Times New Roman" w:hAnsi="Times New Roman" w:eastAsia="仿宋_GB2312" w:cs="Times New Roman"/>
                <w:color w:val="auto"/>
                <w:w w:val="90"/>
                <w:kern w:val="2"/>
                <w:sz w:val="24"/>
                <w:szCs w:val="24"/>
                <w:lang w:val="en-US" w:eastAsia="zh-CN" w:bidi="ar-SA"/>
              </w:rPr>
            </w:pPr>
            <w:r>
              <w:rPr>
                <w:rFonts w:hint="eastAsia" w:ascii="仿宋_GB2312"/>
                <w:color w:val="000000"/>
                <w:sz w:val="24"/>
                <w:szCs w:val="24"/>
              </w:rPr>
              <w:t>高新技术产业增加值占规上工业比重</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highlight w:val="none"/>
                <w:lang w:val="en-US" w:eastAsia="zh-CN" w:bidi="ar-SA"/>
              </w:rPr>
            </w:pPr>
          </w:p>
        </w:tc>
        <w:tc>
          <w:tcPr>
            <w:tcW w:w="1009" w:type="dxa"/>
            <w:shd w:val="clear" w:color="auto" w:fill="FFFFFF"/>
            <w:noWrap w:val="0"/>
            <w:vAlign w:val="center"/>
          </w:tcPr>
          <w:p>
            <w:pPr>
              <w:pStyle w:val="76"/>
              <w:spacing w:line="480" w:lineRule="auto"/>
              <w:ind w:firstLine="0" w:firstLineChars="0"/>
              <w:jc w:val="center"/>
              <w:rPr>
                <w:rFonts w:hint="eastAsia" w:ascii="Times New Roman" w:hAnsi="Times New Roman" w:eastAsia="仿宋_GB2312" w:cs="Times New Roman"/>
                <w:strike/>
                <w:dstrike w:val="0"/>
                <w:color w:val="auto"/>
                <w:kern w:val="2"/>
                <w:sz w:val="24"/>
                <w:szCs w:val="24"/>
                <w:highlight w:val="none"/>
                <w:lang w:val="en-US" w:eastAsia="zh-CN" w:bidi="ar-SA"/>
              </w:rPr>
            </w:pPr>
            <w:r>
              <w:rPr>
                <w:rFonts w:hint="eastAsia" w:cs="Times New Roman"/>
                <w:strike w:val="0"/>
                <w:dstrike w:val="0"/>
                <w:color w:val="auto"/>
                <w:sz w:val="24"/>
                <w:szCs w:val="24"/>
                <w:highlight w:val="none"/>
                <w:lang w:val="en-US" w:eastAsia="zh-CN"/>
              </w:rPr>
              <w:t>4</w:t>
            </w:r>
            <w:r>
              <w:rPr>
                <w:rFonts w:hint="eastAsia" w:ascii="Times New Roman" w:hAnsi="Times New Roman" w:cs="Times New Roman"/>
                <w:strike w:val="0"/>
                <w:dstrike w:val="0"/>
                <w:color w:val="auto"/>
                <w:sz w:val="24"/>
                <w:szCs w:val="24"/>
                <w:highlight w:val="none"/>
                <w:lang w:val="en-US" w:eastAsia="zh-CN"/>
              </w:rPr>
              <w:t>0</w:t>
            </w:r>
          </w:p>
        </w:tc>
        <w:tc>
          <w:tcPr>
            <w:tcW w:w="906"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10</w:t>
            </w:r>
          </w:p>
        </w:tc>
        <w:tc>
          <w:tcPr>
            <w:tcW w:w="4187" w:type="dxa"/>
            <w:shd w:val="clear" w:color="auto" w:fill="auto"/>
            <w:noWrap w:val="0"/>
            <w:vAlign w:val="center"/>
          </w:tcPr>
          <w:p>
            <w:pPr>
              <w:pStyle w:val="76"/>
              <w:spacing w:line="240" w:lineRule="auto"/>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规上工业企业研发费用占营业收入比重</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lang w:val="en-US" w:eastAsia="zh-CN"/>
              </w:rPr>
            </w:pP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lang w:eastAsia="zh-CN"/>
              </w:rPr>
            </w:pP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奋进</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restart"/>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cs="Times New Roman"/>
                <w:color w:val="auto"/>
                <w:sz w:val="24"/>
                <w:szCs w:val="24"/>
                <w:lang w:val="en-US" w:eastAsia="zh-CN"/>
              </w:rPr>
              <w:t>名企</w:t>
            </w:r>
          </w:p>
          <w:p>
            <w:pPr>
              <w:pStyle w:val="76"/>
              <w:spacing w:line="480" w:lineRule="auto"/>
              <w:ind w:firstLine="0" w:firstLineChars="0"/>
              <w:jc w:val="center"/>
              <w:rPr>
                <w:rFonts w:hint="default" w:cs="Times New Roman"/>
                <w:color w:val="auto"/>
                <w:sz w:val="24"/>
                <w:szCs w:val="24"/>
                <w:lang w:val="en-US" w:eastAsia="zh-CN"/>
              </w:rPr>
            </w:pPr>
            <w:r>
              <w:rPr>
                <w:rFonts w:hint="eastAsia" w:cs="Times New Roman"/>
                <w:color w:val="auto"/>
                <w:sz w:val="24"/>
                <w:szCs w:val="24"/>
                <w:lang w:val="en-US" w:eastAsia="zh-CN"/>
              </w:rPr>
              <w:t>育强</w:t>
            </w: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cs="Times New Roman"/>
                <w:color w:val="auto"/>
                <w:sz w:val="24"/>
                <w:szCs w:val="24"/>
                <w:lang w:val="en-US" w:eastAsia="zh-CN"/>
              </w:rPr>
              <w:t>11</w:t>
            </w:r>
          </w:p>
        </w:tc>
        <w:tc>
          <w:tcPr>
            <w:tcW w:w="4187" w:type="dxa"/>
            <w:shd w:val="clear" w:color="auto" w:fill="auto"/>
            <w:noWrap w:val="0"/>
            <w:vAlign w:val="center"/>
          </w:tcPr>
          <w:p>
            <w:pPr>
              <w:pStyle w:val="76"/>
              <w:spacing w:line="480" w:lineRule="auto"/>
              <w:ind w:firstLine="0" w:firstLineChars="0"/>
              <w:rPr>
                <w:rFonts w:hint="default" w:ascii="Times New Roman" w:hAnsi="Times New Roman" w:cs="Times New Roman"/>
                <w:color w:val="auto"/>
                <w:sz w:val="24"/>
                <w:szCs w:val="24"/>
              </w:rPr>
            </w:pPr>
            <w:r>
              <w:rPr>
                <w:rFonts w:hint="eastAsia"/>
                <w:sz w:val="24"/>
                <w:szCs w:val="24"/>
                <w:lang w:val="en-US" w:eastAsia="zh-CN"/>
              </w:rPr>
              <w:t>累计培育</w:t>
            </w:r>
            <w:r>
              <w:rPr>
                <w:rFonts w:hint="eastAsia"/>
                <w:sz w:val="24"/>
                <w:szCs w:val="24"/>
              </w:rPr>
              <w:t>规模以上工业企业</w:t>
            </w:r>
          </w:p>
        </w:tc>
        <w:tc>
          <w:tcPr>
            <w:tcW w:w="974" w:type="dxa"/>
            <w:shd w:val="clear" w:color="auto" w:fill="auto"/>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r>
              <w:rPr>
                <w:rFonts w:hint="eastAsia" w:cs="Times New Roman"/>
                <w:color w:val="auto"/>
                <w:sz w:val="24"/>
                <w:szCs w:val="24"/>
                <w:lang w:val="en-US" w:eastAsia="zh-CN"/>
              </w:rPr>
              <w:t>家</w:t>
            </w:r>
          </w:p>
        </w:tc>
        <w:tc>
          <w:tcPr>
            <w:tcW w:w="1069" w:type="dxa"/>
            <w:shd w:val="clear" w:color="auto" w:fill="FFFFFF"/>
            <w:noWrap w:val="0"/>
            <w:vAlign w:val="center"/>
          </w:tcPr>
          <w:p>
            <w:pPr>
              <w:pStyle w:val="76"/>
              <w:spacing w:line="480" w:lineRule="auto"/>
              <w:ind w:firstLine="0" w:firstLineChars="0"/>
              <w:jc w:val="center"/>
              <w:rPr>
                <w:rFonts w:hint="eastAsia" w:ascii="Times New Roman" w:hAnsi="Times New Roman" w:eastAsia="仿宋_GB2312" w:cs="Times New Roman"/>
                <w:color w:val="auto"/>
                <w:sz w:val="24"/>
                <w:szCs w:val="24"/>
                <w:lang w:eastAsia="zh-CN"/>
              </w:rPr>
            </w:pP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lang w:val="en-US" w:eastAsia="zh-CN"/>
              </w:rPr>
            </w:pPr>
            <w:r>
              <w:rPr>
                <w:rFonts w:hint="eastAsia" w:cs="Times New Roman"/>
                <w:color w:val="auto"/>
                <w:sz w:val="24"/>
                <w:szCs w:val="24"/>
                <w:lang w:val="en-US" w:eastAsia="zh-CN"/>
              </w:rPr>
              <w:t>340</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2" w:type="dxa"/>
            <w:vMerge w:val="continue"/>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12</w:t>
            </w:r>
          </w:p>
        </w:tc>
        <w:tc>
          <w:tcPr>
            <w:tcW w:w="4187" w:type="dxa"/>
            <w:shd w:val="clear" w:color="auto" w:fill="auto"/>
            <w:noWrap w:val="0"/>
            <w:vAlign w:val="center"/>
          </w:tcPr>
          <w:p>
            <w:pPr>
              <w:pStyle w:val="76"/>
              <w:spacing w:line="480" w:lineRule="auto"/>
              <w:ind w:firstLine="0" w:firstLineChars="0"/>
              <w:rPr>
                <w:rFonts w:hint="default" w:eastAsia="仿宋_GB2312"/>
                <w:sz w:val="24"/>
                <w:szCs w:val="24"/>
                <w:lang w:val="en-US" w:eastAsia="zh-CN"/>
              </w:rPr>
            </w:pPr>
            <w:r>
              <w:rPr>
                <w:rFonts w:hint="eastAsia"/>
                <w:sz w:val="24"/>
                <w:szCs w:val="24"/>
                <w:lang w:val="en-US" w:eastAsia="zh-CN"/>
              </w:rPr>
              <w:t>累计培育</w:t>
            </w:r>
            <w:r>
              <w:rPr>
                <w:rFonts w:hint="eastAsia" w:ascii="仿宋_GB2312"/>
                <w:color w:val="000000"/>
                <w:sz w:val="24"/>
                <w:szCs w:val="24"/>
              </w:rPr>
              <w:t>百亿级企业（集团）</w:t>
            </w:r>
          </w:p>
        </w:tc>
        <w:tc>
          <w:tcPr>
            <w:tcW w:w="974" w:type="dxa"/>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ascii="仿宋_GB2312"/>
                <w:color w:val="000000"/>
                <w:sz w:val="24"/>
                <w:szCs w:val="24"/>
              </w:rPr>
              <w:t>家</w:t>
            </w:r>
          </w:p>
        </w:tc>
        <w:tc>
          <w:tcPr>
            <w:tcW w:w="1069" w:type="dxa"/>
            <w:shd w:val="clear" w:color="auto" w:fill="FFFFFF"/>
            <w:noWrap w:val="0"/>
            <w:vAlign w:val="center"/>
          </w:tcPr>
          <w:p>
            <w:pPr>
              <w:pStyle w:val="76"/>
              <w:spacing w:line="480" w:lineRule="auto"/>
              <w:ind w:firstLine="0" w:firstLineChars="0"/>
              <w:jc w:val="center"/>
              <w:rPr>
                <w:rFonts w:hint="eastAsia" w:ascii="Times New Roman" w:hAnsi="Times New Roman" w:cs="Times New Roman"/>
                <w:color w:val="auto"/>
                <w:sz w:val="24"/>
                <w:szCs w:val="24"/>
                <w:lang w:eastAsia="zh-CN"/>
              </w:rPr>
            </w:pP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2</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13</w:t>
            </w:r>
          </w:p>
        </w:tc>
        <w:tc>
          <w:tcPr>
            <w:tcW w:w="4187" w:type="dxa"/>
            <w:shd w:val="clear" w:color="auto" w:fill="auto"/>
            <w:noWrap w:val="0"/>
            <w:vAlign w:val="center"/>
          </w:tcPr>
          <w:p>
            <w:pPr>
              <w:pStyle w:val="76"/>
              <w:spacing w:line="480" w:lineRule="auto"/>
              <w:ind w:firstLine="0" w:firstLineChars="0"/>
              <w:rPr>
                <w:rFonts w:hint="eastAsia" w:ascii="仿宋_GB2312"/>
                <w:color w:val="000000"/>
                <w:sz w:val="24"/>
                <w:szCs w:val="24"/>
              </w:rPr>
            </w:pPr>
            <w:r>
              <w:rPr>
                <w:rFonts w:hint="eastAsia"/>
                <w:sz w:val="24"/>
                <w:szCs w:val="24"/>
                <w:lang w:val="en-US" w:eastAsia="zh-CN"/>
              </w:rPr>
              <w:t>累计培育</w:t>
            </w:r>
            <w:r>
              <w:rPr>
                <w:rFonts w:hint="eastAsia" w:ascii="仿宋_GB2312"/>
                <w:color w:val="000000"/>
                <w:sz w:val="24"/>
                <w:szCs w:val="24"/>
              </w:rPr>
              <w:t>十亿级企业</w:t>
            </w:r>
          </w:p>
        </w:tc>
        <w:tc>
          <w:tcPr>
            <w:tcW w:w="974" w:type="dxa"/>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ascii="仿宋_GB2312"/>
                <w:color w:val="000000"/>
                <w:sz w:val="24"/>
                <w:szCs w:val="24"/>
              </w:rPr>
              <w:t>家</w:t>
            </w:r>
          </w:p>
        </w:tc>
        <w:tc>
          <w:tcPr>
            <w:tcW w:w="1069" w:type="dxa"/>
            <w:shd w:val="clear" w:color="auto" w:fill="FFFFFF"/>
            <w:noWrap w:val="0"/>
            <w:vAlign w:val="center"/>
          </w:tcPr>
          <w:p>
            <w:pPr>
              <w:pStyle w:val="76"/>
              <w:spacing w:line="480" w:lineRule="auto"/>
              <w:ind w:firstLine="0" w:firstLineChars="0"/>
              <w:jc w:val="center"/>
              <w:rPr>
                <w:rFonts w:hint="eastAsia" w:ascii="Times New Roman" w:hAnsi="Times New Roman" w:cs="Times New Roman"/>
                <w:color w:val="auto"/>
                <w:sz w:val="24"/>
                <w:szCs w:val="24"/>
                <w:lang w:eastAsia="zh-CN"/>
              </w:rPr>
            </w:pPr>
          </w:p>
        </w:tc>
        <w:tc>
          <w:tcPr>
            <w:tcW w:w="1009" w:type="dxa"/>
            <w:shd w:val="clear" w:color="auto" w:fill="FFFFFF"/>
            <w:noWrap w:val="0"/>
            <w:vAlign w:val="center"/>
          </w:tcPr>
          <w:p>
            <w:pPr>
              <w:pStyle w:val="76"/>
              <w:spacing w:line="480" w:lineRule="auto"/>
              <w:ind w:firstLine="0" w:firstLineChars="0"/>
              <w:jc w:val="center"/>
              <w:rPr>
                <w:rFonts w:hint="default" w:cs="Times New Roman"/>
                <w:color w:val="auto"/>
                <w:sz w:val="24"/>
                <w:szCs w:val="24"/>
                <w:lang w:val="en-US" w:eastAsia="zh-CN"/>
              </w:rPr>
            </w:pPr>
            <w:r>
              <w:rPr>
                <w:rFonts w:hint="eastAsia" w:cs="Times New Roman"/>
                <w:color w:val="auto"/>
                <w:sz w:val="24"/>
                <w:szCs w:val="24"/>
                <w:lang w:val="en-US" w:eastAsia="zh-CN"/>
              </w:rPr>
              <w:t>20</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14</w:t>
            </w:r>
          </w:p>
        </w:tc>
        <w:tc>
          <w:tcPr>
            <w:tcW w:w="4187" w:type="dxa"/>
            <w:shd w:val="clear" w:color="auto" w:fill="auto"/>
            <w:noWrap w:val="0"/>
            <w:vAlign w:val="center"/>
          </w:tcPr>
          <w:p>
            <w:pPr>
              <w:pStyle w:val="76"/>
              <w:spacing w:line="480" w:lineRule="auto"/>
              <w:ind w:firstLine="0" w:firstLineChars="0"/>
              <w:rPr>
                <w:rFonts w:hint="default" w:ascii="仿宋_GB2312" w:eastAsia="仿宋_GB2312"/>
                <w:color w:val="000000"/>
                <w:sz w:val="24"/>
                <w:szCs w:val="24"/>
                <w:lang w:val="en-US" w:eastAsia="zh-CN"/>
              </w:rPr>
            </w:pPr>
            <w:r>
              <w:rPr>
                <w:rFonts w:hint="eastAsia"/>
                <w:sz w:val="24"/>
                <w:szCs w:val="24"/>
                <w:lang w:val="en-US" w:eastAsia="zh-CN"/>
              </w:rPr>
              <w:t>累计培育</w:t>
            </w:r>
            <w:r>
              <w:rPr>
                <w:rFonts w:hint="eastAsia" w:ascii="仿宋_GB2312"/>
                <w:color w:val="000000"/>
                <w:sz w:val="24"/>
                <w:szCs w:val="24"/>
              </w:rPr>
              <w:t>主板上市企业</w:t>
            </w:r>
          </w:p>
        </w:tc>
        <w:tc>
          <w:tcPr>
            <w:tcW w:w="974" w:type="dxa"/>
            <w:shd w:val="clear" w:color="auto" w:fill="auto"/>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ascii="仿宋_GB2312"/>
                <w:color w:val="000000"/>
                <w:sz w:val="24"/>
                <w:szCs w:val="24"/>
              </w:rPr>
              <w:t>家</w:t>
            </w:r>
          </w:p>
        </w:tc>
        <w:tc>
          <w:tcPr>
            <w:tcW w:w="1069" w:type="dxa"/>
            <w:shd w:val="clear" w:color="auto" w:fill="FFFFFF"/>
            <w:noWrap w:val="0"/>
            <w:vAlign w:val="center"/>
          </w:tcPr>
          <w:p>
            <w:pPr>
              <w:pStyle w:val="76"/>
              <w:spacing w:line="480" w:lineRule="auto"/>
              <w:ind w:firstLine="0" w:firstLineChars="0"/>
              <w:jc w:val="center"/>
              <w:rPr>
                <w:rFonts w:hint="eastAsia" w:ascii="Times New Roman" w:hAnsi="Times New Roman" w:cs="Times New Roman"/>
                <w:color w:val="auto"/>
                <w:sz w:val="24"/>
                <w:szCs w:val="24"/>
                <w:lang w:eastAsia="zh-CN"/>
              </w:rPr>
            </w:pPr>
          </w:p>
        </w:tc>
        <w:tc>
          <w:tcPr>
            <w:tcW w:w="1009" w:type="dxa"/>
            <w:shd w:val="clear" w:color="auto" w:fill="FFFFFF"/>
            <w:noWrap w:val="0"/>
            <w:vAlign w:val="center"/>
          </w:tcPr>
          <w:p>
            <w:pPr>
              <w:pStyle w:val="76"/>
              <w:spacing w:line="480" w:lineRule="auto"/>
              <w:ind w:firstLine="0" w:firstLineChars="0"/>
              <w:jc w:val="center"/>
              <w:rPr>
                <w:rFonts w:hint="eastAsia" w:cs="Times New Roman"/>
                <w:color w:val="auto"/>
                <w:sz w:val="24"/>
                <w:szCs w:val="24"/>
                <w:lang w:val="en-US" w:eastAsia="zh-CN"/>
              </w:rPr>
            </w:pPr>
            <w:r>
              <w:rPr>
                <w:rFonts w:hint="eastAsia" w:ascii="仿宋_GB2312"/>
                <w:color w:val="000000"/>
                <w:sz w:val="24"/>
                <w:szCs w:val="24"/>
              </w:rPr>
              <w:t>10</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restart"/>
            <w:shd w:val="clear" w:color="auto" w:fill="auto"/>
            <w:noWrap w:val="0"/>
            <w:vAlign w:val="center"/>
          </w:tcPr>
          <w:p>
            <w:pPr>
              <w:pStyle w:val="76"/>
              <w:spacing w:line="480" w:lineRule="auto"/>
              <w:ind w:firstLine="0" w:firstLineChars="0"/>
              <w:jc w:val="center"/>
              <w:rPr>
                <w:rFonts w:hint="default" w:cs="Times New Roman"/>
                <w:color w:val="auto"/>
                <w:sz w:val="24"/>
                <w:szCs w:val="24"/>
                <w:lang w:val="en-US" w:eastAsia="zh-CN"/>
              </w:rPr>
            </w:pPr>
            <w:r>
              <w:rPr>
                <w:rFonts w:hint="eastAsia" w:cs="Times New Roman"/>
                <w:color w:val="auto"/>
                <w:sz w:val="24"/>
                <w:szCs w:val="24"/>
                <w:lang w:val="en-US" w:eastAsia="zh-CN"/>
              </w:rPr>
              <w:t>绿色集约</w:t>
            </w:r>
          </w:p>
        </w:tc>
        <w:tc>
          <w:tcPr>
            <w:tcW w:w="624" w:type="dxa"/>
            <w:shd w:val="clear" w:color="auto" w:fill="auto"/>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sz w:val="24"/>
                <w:szCs w:val="24"/>
                <w:lang w:eastAsia="zh-CN"/>
              </w:rPr>
              <w:t>1</w:t>
            </w:r>
            <w:r>
              <w:rPr>
                <w:rFonts w:hint="eastAsia" w:ascii="Times New Roman" w:hAnsi="Times New Roman" w:cs="Times New Roman"/>
                <w:color w:val="auto"/>
                <w:sz w:val="24"/>
                <w:szCs w:val="24"/>
                <w:lang w:val="en-US" w:eastAsia="zh-CN"/>
              </w:rPr>
              <w:t>3</w:t>
            </w:r>
          </w:p>
        </w:tc>
        <w:tc>
          <w:tcPr>
            <w:tcW w:w="4187" w:type="dxa"/>
            <w:shd w:val="clear" w:color="auto" w:fill="auto"/>
            <w:noWrap w:val="0"/>
            <w:vAlign w:val="center"/>
          </w:tcPr>
          <w:p>
            <w:pPr>
              <w:pStyle w:val="76"/>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数字经济核心产业增加值占GDP比重</w:t>
            </w:r>
          </w:p>
        </w:tc>
        <w:tc>
          <w:tcPr>
            <w:tcW w:w="974" w:type="dxa"/>
            <w:shd w:val="clear" w:color="auto" w:fill="auto"/>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1069" w:type="dxa"/>
            <w:shd w:val="clear" w:color="auto" w:fill="FFFFFF"/>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1009" w:type="dxa"/>
            <w:shd w:val="clear" w:color="auto" w:fill="FFFFFF"/>
            <w:noWrap w:val="0"/>
            <w:vAlign w:val="center"/>
          </w:tcPr>
          <w:p>
            <w:pPr>
              <w:pStyle w:val="76"/>
              <w:spacing w:line="480" w:lineRule="auto"/>
              <w:ind w:firstLine="0" w:firstLineChars="0"/>
              <w:jc w:val="center"/>
              <w:rPr>
                <w:rFonts w:hint="default" w:ascii="Times New Roman" w:hAnsi="Times New Roman" w:eastAsia="仿宋_GB2312" w:cs="Times New Roman"/>
                <w:b w:val="0"/>
                <w:bCs w:val="0"/>
                <w:color w:val="auto"/>
                <w:sz w:val="24"/>
                <w:szCs w:val="24"/>
                <w:lang w:val="en-US" w:eastAsia="zh-CN"/>
              </w:rPr>
            </w:pP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eastAsia" w:cs="Times New Roman"/>
                <w:color w:val="auto"/>
                <w:sz w:val="24"/>
                <w:szCs w:val="24"/>
                <w:lang w:eastAsia="zh-CN"/>
              </w:rPr>
              <w:t>奋进</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752" w:type="dxa"/>
            <w:vMerge w:val="continue"/>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14</w:t>
            </w:r>
          </w:p>
        </w:tc>
        <w:tc>
          <w:tcPr>
            <w:tcW w:w="4187" w:type="dxa"/>
            <w:noWrap w:val="0"/>
            <w:vAlign w:val="center"/>
          </w:tcPr>
          <w:p>
            <w:pPr>
              <w:pStyle w:val="76"/>
              <w:spacing w:line="480" w:lineRule="auto"/>
              <w:ind w:firstLine="0" w:firstLineChars="0"/>
              <w:rPr>
                <w:rFonts w:hint="default" w:ascii="Times New Roman" w:hAnsi="Times New Roman" w:cs="Times New Roman"/>
                <w:color w:val="auto"/>
                <w:sz w:val="24"/>
                <w:szCs w:val="24"/>
              </w:rPr>
            </w:pPr>
            <w:r>
              <w:rPr>
                <w:rFonts w:hint="default" w:ascii="Times New Roman" w:hAnsi="Times New Roman" w:cs="Times New Roman"/>
                <w:color w:val="auto"/>
                <w:w w:val="90"/>
                <w:sz w:val="24"/>
                <w:szCs w:val="24"/>
              </w:rPr>
              <w:t>单位工业增加值二氧化碳排放降低</w:t>
            </w:r>
          </w:p>
        </w:tc>
        <w:tc>
          <w:tcPr>
            <w:tcW w:w="974"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078" w:type="dxa"/>
            <w:gridSpan w:val="2"/>
            <w:noWrap w:val="0"/>
            <w:vAlign w:val="center"/>
          </w:tcPr>
          <w:p>
            <w:pPr>
              <w:pStyle w:val="76"/>
              <w:spacing w:line="480" w:lineRule="auto"/>
              <w:ind w:firstLine="0" w:firstLineChars="0"/>
              <w:jc w:val="center"/>
              <w:rPr>
                <w:rFonts w:hint="default" w:ascii="Times New Roman" w:hAnsi="Times New Roman" w:eastAsia="等线" w:cs="Times New Roman"/>
                <w:color w:val="auto"/>
                <w:sz w:val="24"/>
                <w:szCs w:val="24"/>
                <w:lang w:val="en-US" w:eastAsia="zh-CN"/>
              </w:rPr>
            </w:pPr>
            <w:r>
              <w:rPr>
                <w:rFonts w:hint="eastAsia" w:eastAsia="等线" w:cs="Times New Roman"/>
                <w:color w:val="auto"/>
                <w:sz w:val="24"/>
                <w:szCs w:val="24"/>
                <w:lang w:val="en-US" w:eastAsia="zh-CN"/>
              </w:rPr>
              <w:t>完成上级下达任务</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约束</w:t>
            </w:r>
            <w:r>
              <w:rPr>
                <w:rFonts w:hint="default" w:ascii="Times New Roman" w:hAnsi="Times New Roman" w:cs="Times New Roman"/>
                <w:color w:val="auto"/>
                <w:sz w:val="24"/>
                <w:szCs w:val="24"/>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752" w:type="dxa"/>
            <w:vMerge w:val="continue"/>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p>
        </w:tc>
        <w:tc>
          <w:tcPr>
            <w:tcW w:w="624"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15</w:t>
            </w:r>
          </w:p>
        </w:tc>
        <w:tc>
          <w:tcPr>
            <w:tcW w:w="4187" w:type="dxa"/>
            <w:noWrap w:val="0"/>
            <w:vAlign w:val="center"/>
          </w:tcPr>
          <w:p>
            <w:pPr>
              <w:pStyle w:val="76"/>
              <w:spacing w:line="480" w:lineRule="auto"/>
              <w:ind w:firstLine="0" w:firstLineChars="0"/>
              <w:rPr>
                <w:rFonts w:hint="default" w:ascii="Times New Roman" w:hAnsi="Times New Roman" w:eastAsia="仿宋_GB2312" w:cs="Times New Roman"/>
                <w:color w:val="auto"/>
                <w:sz w:val="24"/>
                <w:szCs w:val="24"/>
                <w:lang w:val="en-US" w:eastAsia="zh-CN"/>
              </w:rPr>
            </w:pPr>
            <w:r>
              <w:rPr>
                <w:rFonts w:hint="default" w:ascii="Times New Roman" w:hAnsi="Times New Roman" w:cs="Times New Roman"/>
                <w:color w:val="auto"/>
                <w:w w:val="90"/>
                <w:sz w:val="24"/>
                <w:szCs w:val="24"/>
              </w:rPr>
              <w:t>单位工业增加值能源消耗降低</w:t>
            </w:r>
          </w:p>
        </w:tc>
        <w:tc>
          <w:tcPr>
            <w:tcW w:w="974" w:type="dxa"/>
            <w:noWrap w:val="0"/>
            <w:vAlign w:val="center"/>
          </w:tcPr>
          <w:p>
            <w:pPr>
              <w:pStyle w:val="76"/>
              <w:spacing w:line="480" w:lineRule="auto"/>
              <w:ind w:firstLine="0" w:firstLineChars="0"/>
              <w:jc w:val="center"/>
              <w:rPr>
                <w:rFonts w:hint="default" w:ascii="Times New Roman" w:hAnsi="Times New Roman" w:eastAsia="仿宋_GB2312" w:cs="Times New Roman"/>
                <w:color w:val="auto"/>
                <w:sz w:val="24"/>
                <w:szCs w:val="24"/>
                <w:lang w:eastAsia="zh-CN"/>
              </w:rPr>
            </w:pPr>
            <w:r>
              <w:rPr>
                <w:rFonts w:hint="default" w:ascii="Times New Roman" w:hAnsi="Times New Roman" w:cs="Times New Roman"/>
                <w:color w:val="auto"/>
                <w:sz w:val="24"/>
                <w:szCs w:val="24"/>
              </w:rPr>
              <w:t>%</w:t>
            </w:r>
          </w:p>
        </w:tc>
        <w:tc>
          <w:tcPr>
            <w:tcW w:w="2078" w:type="dxa"/>
            <w:gridSpan w:val="2"/>
            <w:noWrap w:val="0"/>
            <w:vAlign w:val="center"/>
          </w:tcPr>
          <w:p>
            <w:pPr>
              <w:pStyle w:val="76"/>
              <w:spacing w:line="480" w:lineRule="auto"/>
              <w:ind w:firstLine="0" w:firstLineChars="0"/>
              <w:jc w:val="center"/>
              <w:rPr>
                <w:rFonts w:hint="default" w:ascii="Times New Roman" w:hAnsi="Times New Roman" w:eastAsia="等线" w:cs="Times New Roman"/>
                <w:color w:val="auto"/>
                <w:kern w:val="2"/>
                <w:sz w:val="24"/>
                <w:szCs w:val="24"/>
                <w:lang w:val="en-US" w:eastAsia="zh-CN" w:bidi="ar-SA"/>
              </w:rPr>
            </w:pPr>
            <w:r>
              <w:rPr>
                <w:rFonts w:hint="eastAsia" w:eastAsia="等线" w:cs="Times New Roman"/>
                <w:color w:val="auto"/>
                <w:sz w:val="24"/>
                <w:szCs w:val="24"/>
                <w:lang w:val="en-US" w:eastAsia="zh-CN"/>
              </w:rPr>
              <w:t>完成上级下达任务</w:t>
            </w:r>
          </w:p>
        </w:tc>
        <w:tc>
          <w:tcPr>
            <w:tcW w:w="906" w:type="dxa"/>
            <w:noWrap w:val="0"/>
            <w:vAlign w:val="center"/>
          </w:tcPr>
          <w:p>
            <w:pPr>
              <w:pStyle w:val="76"/>
              <w:spacing w:line="48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约束</w:t>
            </w:r>
            <w:r>
              <w:rPr>
                <w:rFonts w:hint="default" w:ascii="Times New Roman" w:hAnsi="Times New Roman" w:cs="Times New Roman"/>
                <w:color w:val="auto"/>
                <w:sz w:val="24"/>
                <w:szCs w:val="24"/>
                <w:lang w:val="en-US" w:eastAsia="zh-CN"/>
              </w:rPr>
              <w:t>性</w:t>
            </w:r>
          </w:p>
        </w:tc>
      </w:tr>
    </w:tbl>
    <w:p>
      <w:pPr>
        <w:rPr>
          <w:rFonts w:hint="eastAsia" w:ascii="仿宋_GB2312"/>
          <w:color w:val="000000"/>
          <w:lang w:eastAsia="zh-CN"/>
        </w:rPr>
      </w:pPr>
    </w:p>
    <w:p>
      <w:pPr>
        <w:pStyle w:val="38"/>
        <w:spacing w:line="560" w:lineRule="exact"/>
        <w:rPr>
          <w:rFonts w:hint="eastAsia" w:ascii="仿宋_GB2312" w:cs="Times New Roman"/>
          <w:color w:val="000000"/>
          <w:kern w:val="2"/>
          <w:sz w:val="24"/>
          <w:szCs w:val="24"/>
          <w:lang w:val="en-US" w:eastAsia="zh-CN" w:bidi="ar-SA"/>
        </w:rPr>
      </w:pPr>
      <w:r>
        <w:rPr>
          <w:rFonts w:hint="eastAsia" w:ascii="仿宋_GB2312" w:hAnsi="Times New Roman" w:eastAsia="仿宋_GB2312" w:cs="Times New Roman"/>
          <w:color w:val="000000"/>
          <w:kern w:val="2"/>
          <w:sz w:val="24"/>
          <w:szCs w:val="24"/>
          <w:lang w:val="en-US" w:eastAsia="zh-CN" w:bidi="ar-SA"/>
        </w:rPr>
        <w:t>注：</w:t>
      </w:r>
      <w:r>
        <w:rPr>
          <w:rFonts w:hint="eastAsia" w:ascii="仿宋_GB2312" w:cs="Times New Roman"/>
          <w:color w:val="000000"/>
          <w:kern w:val="2"/>
          <w:sz w:val="24"/>
          <w:szCs w:val="24"/>
          <w:lang w:val="en-US" w:eastAsia="zh-CN" w:bidi="ar-SA"/>
        </w:rPr>
        <w:t>主要目标主要设立奋进性、预期性、约束性三类指标。其中（1）预期性、约束性为五年规划的评估指标，</w:t>
      </w:r>
      <w:r>
        <w:rPr>
          <w:rFonts w:hint="eastAsia" w:ascii="仿宋_GB2312"/>
          <w:color w:val="000000"/>
          <w:sz w:val="24"/>
          <w:szCs w:val="24"/>
          <w:lang w:eastAsia="zh-CN"/>
        </w:rPr>
        <w:t>政府要创造良好的环境、强化政府履责</w:t>
      </w:r>
      <w:r>
        <w:rPr>
          <w:rFonts w:hint="eastAsia" w:ascii="仿宋_GB2312"/>
          <w:color w:val="000000"/>
          <w:sz w:val="24"/>
          <w:szCs w:val="24"/>
          <w:lang w:val="en-US" w:eastAsia="zh-CN"/>
        </w:rPr>
        <w:t>担当以努力实现，</w:t>
      </w:r>
      <w:r>
        <w:rPr>
          <w:rFonts w:hint="eastAsia" w:ascii="仿宋_GB2312" w:cs="Times New Roman"/>
          <w:color w:val="000000"/>
          <w:kern w:val="2"/>
          <w:sz w:val="24"/>
          <w:szCs w:val="24"/>
          <w:lang w:val="en-US" w:eastAsia="zh-CN" w:bidi="ar-SA"/>
        </w:rPr>
        <w:t>纳入“十四五”中期评估、期末评估范围。（2）</w:t>
      </w:r>
      <w:r>
        <w:rPr>
          <w:rFonts w:hint="eastAsia" w:ascii="仿宋_GB2312" w:hAnsi="Times New Roman" w:eastAsia="仿宋_GB2312" w:cs="Times New Roman"/>
          <w:color w:val="000000"/>
          <w:kern w:val="2"/>
          <w:sz w:val="24"/>
          <w:szCs w:val="24"/>
          <w:lang w:val="en-US" w:eastAsia="zh-CN" w:bidi="ar-SA"/>
        </w:rPr>
        <w:t>奋进性指标</w:t>
      </w:r>
      <w:r>
        <w:rPr>
          <w:rFonts w:hint="eastAsia" w:ascii="仿宋_GB2312" w:cs="Times New Roman"/>
          <w:color w:val="000000"/>
          <w:kern w:val="2"/>
          <w:sz w:val="24"/>
          <w:szCs w:val="24"/>
          <w:lang w:val="en-US" w:eastAsia="zh-CN" w:bidi="ar-SA"/>
        </w:rPr>
        <w:t>为自选动作，是实现“山区跨越发展”的自我加压，需要政府凝聚更大智慧、集中更大力量为之长期奋斗，不纳入评估范围。</w:t>
      </w:r>
    </w:p>
    <w:p>
      <w:pPr>
        <w:pStyle w:val="38"/>
        <w:spacing w:line="560" w:lineRule="exact"/>
        <w:rPr>
          <w:rFonts w:hint="eastAsia" w:ascii="仿宋_GB2312"/>
          <w:color w:val="000000"/>
          <w:lang w:eastAsia="zh-CN"/>
        </w:rPr>
      </w:pPr>
      <w:r>
        <w:rPr>
          <w:rFonts w:hint="eastAsia" w:ascii="仿宋_GB2312"/>
          <w:color w:val="000000"/>
          <w:lang w:eastAsia="zh-CN"/>
        </w:rPr>
        <w:br w:type="page"/>
      </w:r>
    </w:p>
    <w:p>
      <w:pPr>
        <w:pStyle w:val="38"/>
        <w:spacing w:line="560" w:lineRule="exact"/>
        <w:rPr>
          <w:rFonts w:hint="eastAsia" w:ascii="仿宋_GB2312"/>
          <w:color w:val="000000"/>
          <w:lang w:eastAsia="zh-CN"/>
        </w:rPr>
      </w:pPr>
    </w:p>
    <w:p>
      <w:pPr>
        <w:pStyle w:val="38"/>
        <w:spacing w:line="560" w:lineRule="exact"/>
        <w:rPr>
          <w:rFonts w:hint="eastAsia"/>
          <w:sz w:val="32"/>
          <w:szCs w:val="32"/>
        </w:rPr>
      </w:pPr>
      <w:r>
        <w:rPr>
          <w:rFonts w:hint="eastAsia" w:ascii="仿宋_GB2312" w:hAnsi="仿宋_GB2312" w:cs="仿宋_GB2312"/>
          <w:lang w:val="en-US" w:eastAsia="zh-CN"/>
        </w:rPr>
        <w:t>展望</w:t>
      </w:r>
      <w:r>
        <w:rPr>
          <w:rFonts w:hint="eastAsia" w:ascii="仿宋_GB2312" w:hAnsi="仿宋_GB2312" w:cs="仿宋_GB2312"/>
        </w:rPr>
        <w:t>到二〇三五年，</w:t>
      </w:r>
      <w:r>
        <w:rPr>
          <w:rFonts w:hint="eastAsia" w:ascii="仿宋_GB2312" w:hAnsi="仿宋_GB2312" w:cs="仿宋_GB2312"/>
          <w:lang w:val="en-US" w:eastAsia="zh-CN"/>
        </w:rPr>
        <w:t>生态工业经济内生发展动力实现</w:t>
      </w:r>
      <w:r>
        <w:rPr>
          <w:rFonts w:hint="eastAsia" w:ascii="仿宋_GB2312" w:hAnsi="仿宋_GB2312" w:cs="仿宋_GB2312"/>
        </w:rPr>
        <w:t>大幅跃升，创新成为</w:t>
      </w:r>
      <w:r>
        <w:rPr>
          <w:rFonts w:hint="eastAsia" w:ascii="仿宋_GB2312" w:hAnsi="仿宋_GB2312" w:cs="仿宋_GB2312"/>
          <w:lang w:val="en-US" w:eastAsia="zh-CN"/>
        </w:rPr>
        <w:t>青田</w:t>
      </w:r>
      <w:r>
        <w:rPr>
          <w:rFonts w:hint="eastAsia" w:ascii="仿宋_GB2312" w:hAnsi="仿宋_GB2312" w:cs="仿宋_GB2312"/>
        </w:rPr>
        <w:t>高质量绿色发展的鲜明特征和强大引擎</w:t>
      </w:r>
      <w:r>
        <w:rPr>
          <w:rFonts w:hint="eastAsia" w:ascii="仿宋_GB2312" w:hAnsi="仿宋_GB2312" w:cs="仿宋_GB2312"/>
          <w:lang w:eastAsia="zh-CN"/>
        </w:rPr>
        <w:t>，</w:t>
      </w:r>
      <w:r>
        <w:rPr>
          <w:rFonts w:hint="eastAsia" w:ascii="仿宋_GB2312" w:hAnsi="仿宋_GB2312" w:cs="仿宋_GB2312"/>
        </w:rPr>
        <w:t>生产力布局、资源开发、设施配套、交通建设在更大时空范围内</w:t>
      </w:r>
      <w:r>
        <w:rPr>
          <w:rFonts w:hint="eastAsia" w:ascii="仿宋_GB2312" w:hAnsi="仿宋_GB2312" w:cs="仿宋_GB2312"/>
          <w:lang w:val="en-US" w:eastAsia="zh-CN"/>
        </w:rPr>
        <w:t>实现</w:t>
      </w:r>
      <w:r>
        <w:rPr>
          <w:rFonts w:hint="eastAsia" w:ascii="仿宋_GB2312" w:hAnsi="仿宋_GB2312" w:cs="仿宋_GB2312"/>
        </w:rPr>
        <w:t>统筹</w:t>
      </w:r>
      <w:r>
        <w:rPr>
          <w:rFonts w:hint="eastAsia" w:ascii="仿宋_GB2312" w:hAnsi="仿宋_GB2312" w:cs="仿宋_GB2312"/>
          <w:lang w:val="en-US" w:eastAsia="zh-CN"/>
        </w:rPr>
        <w:t>协调</w:t>
      </w:r>
      <w:r>
        <w:rPr>
          <w:rFonts w:hint="eastAsia" w:ascii="仿宋_GB2312" w:hAnsi="仿宋_GB2312" w:cs="仿宋_GB2312"/>
        </w:rPr>
        <w:t>，山区加快跨越式发展先行区建设取得重大决定性成果</w:t>
      </w:r>
      <w:r>
        <w:rPr>
          <w:rFonts w:hint="eastAsia" w:ascii="仿宋_GB2312" w:hAnsi="仿宋_GB2312" w:cs="仿宋_GB2312"/>
          <w:lang w:eastAsia="zh-CN"/>
        </w:rPr>
        <w:t>，</w:t>
      </w:r>
      <w:r>
        <w:rPr>
          <w:rFonts w:hint="eastAsia" w:ascii="仿宋_GB2312" w:hAnsi="仿宋_GB2312" w:cs="仿宋_GB2312"/>
        </w:rPr>
        <w:t>基本实现新型工业化、信息化，建成具有侨乡鲜明特色的现代化生态</w:t>
      </w:r>
      <w:r>
        <w:rPr>
          <w:rFonts w:hint="eastAsia" w:ascii="仿宋_GB2312" w:hAnsi="仿宋_GB2312" w:cs="仿宋_GB2312"/>
          <w:lang w:val="en-US" w:eastAsia="zh-CN"/>
        </w:rPr>
        <w:t>工业</w:t>
      </w:r>
      <w:r>
        <w:rPr>
          <w:rFonts w:hint="eastAsia" w:ascii="仿宋_GB2312" w:hAnsi="仿宋_GB2312" w:cs="仿宋_GB2312"/>
        </w:rPr>
        <w:t>体系，生态环境质量、发展进程指数</w:t>
      </w:r>
      <w:r>
        <w:rPr>
          <w:rFonts w:hint="eastAsia" w:ascii="仿宋_GB2312" w:hAnsi="仿宋_GB2312" w:cs="仿宋_GB2312"/>
          <w:lang w:val="en-US" w:eastAsia="zh-CN"/>
        </w:rPr>
        <w:t>等</w:t>
      </w:r>
      <w:r>
        <w:rPr>
          <w:rFonts w:hint="eastAsia" w:ascii="仿宋_GB2312" w:hAnsi="仿宋_GB2312" w:cs="仿宋_GB2312"/>
        </w:rPr>
        <w:t>走在山区</w:t>
      </w:r>
      <w:r>
        <w:rPr>
          <w:rFonts w:hint="default" w:ascii="仿宋_GB2312" w:hAnsi="仿宋_GB2312" w:cs="仿宋_GB2312"/>
        </w:rPr>
        <w:t>26</w:t>
      </w:r>
      <w:r>
        <w:rPr>
          <w:rFonts w:hint="eastAsia" w:ascii="仿宋_GB2312" w:hAnsi="仿宋_GB2312" w:cs="仿宋_GB2312"/>
        </w:rPr>
        <w:t>县前列，与全省同步基本实现社会主义现代化。</w:t>
      </w:r>
    </w:p>
    <w:p>
      <w:pPr>
        <w:rPr>
          <w:rFonts w:hint="eastAsia"/>
          <w:sz w:val="32"/>
          <w:szCs w:val="32"/>
        </w:rPr>
      </w:pPr>
      <w:r>
        <w:rPr>
          <w:rFonts w:hint="eastAsia"/>
          <w:sz w:val="32"/>
          <w:szCs w:val="32"/>
        </w:rPr>
        <w:br w:type="page"/>
      </w:r>
    </w:p>
    <w:p>
      <w:pPr>
        <w:pStyle w:val="29"/>
        <w:spacing w:line="560" w:lineRule="exact"/>
        <w:ind w:firstLine="0" w:firstLineChars="0"/>
        <w:rPr>
          <w:sz w:val="32"/>
          <w:szCs w:val="32"/>
        </w:rPr>
      </w:pPr>
      <w:bookmarkStart w:id="14" w:name="_Toc14838"/>
      <w:r>
        <w:rPr>
          <w:rFonts w:hint="eastAsia"/>
          <w:sz w:val="32"/>
          <w:szCs w:val="32"/>
        </w:rPr>
        <w:t>三、发展重点</w:t>
      </w:r>
      <w:bookmarkEnd w:id="14"/>
    </w:p>
    <w:p>
      <w:pPr>
        <w:spacing w:line="560" w:lineRule="exact"/>
        <w:ind w:firstLine="640"/>
        <w:rPr>
          <w:rFonts w:hint="eastAsia" w:ascii="仿宋_GB2312"/>
          <w:color w:val="0000FF"/>
          <w:sz w:val="32"/>
          <w:szCs w:val="32"/>
        </w:rPr>
      </w:pPr>
      <w:r>
        <w:rPr>
          <w:rFonts w:hint="eastAsia" w:ascii="仿宋_GB2312"/>
          <w:color w:val="0000FF"/>
          <w:sz w:val="32"/>
          <w:szCs w:val="32"/>
        </w:rPr>
        <w:t>大力发展以质量领先、数字赋能为特色的生态工业，努力实现高端不锈钢（精密制造）、时尚（鞋服）、智控阀门（高端装备）、</w:t>
      </w:r>
      <w:r>
        <w:rPr>
          <w:rFonts w:hint="eastAsia" w:ascii="仿宋_GB2312"/>
          <w:color w:val="0000FF"/>
          <w:sz w:val="32"/>
          <w:szCs w:val="32"/>
          <w:lang w:val="en-US" w:eastAsia="zh-CN"/>
        </w:rPr>
        <w:t>绿色</w:t>
      </w:r>
      <w:r>
        <w:rPr>
          <w:rFonts w:hint="eastAsia" w:ascii="仿宋_GB2312"/>
          <w:color w:val="0000FF"/>
          <w:sz w:val="32"/>
          <w:szCs w:val="32"/>
        </w:rPr>
        <w:t>石矿产业、新兴产业（绿色新能源）等五大百亿新增产能</w:t>
      </w:r>
      <w:r>
        <w:rPr>
          <w:rFonts w:hint="eastAsia" w:ascii="仿宋_GB2312"/>
          <w:color w:val="0000FF"/>
          <w:sz w:val="32"/>
          <w:szCs w:val="32"/>
          <w:lang w:eastAsia="zh-CN"/>
        </w:rPr>
        <w:t>，</w:t>
      </w:r>
      <w:r>
        <w:rPr>
          <w:rFonts w:hint="eastAsia" w:ascii="仿宋_GB2312"/>
          <w:color w:val="0000FF"/>
          <w:sz w:val="32"/>
          <w:szCs w:val="32"/>
        </w:rPr>
        <w:t>培育</w:t>
      </w:r>
      <w:r>
        <w:rPr>
          <w:rFonts w:hint="eastAsia" w:ascii="仿宋_GB2312"/>
          <w:color w:val="0000FF"/>
          <w:sz w:val="32"/>
          <w:szCs w:val="32"/>
          <w:lang w:val="en-US" w:eastAsia="zh-CN"/>
        </w:rPr>
        <w:t>壮大</w:t>
      </w:r>
      <w:r>
        <w:rPr>
          <w:rFonts w:hint="eastAsia" w:ascii="仿宋_GB2312"/>
          <w:color w:val="0000FF"/>
          <w:sz w:val="32"/>
          <w:szCs w:val="32"/>
        </w:rPr>
        <w:t>数字经济</w:t>
      </w:r>
      <w:r>
        <w:rPr>
          <w:rFonts w:hint="eastAsia" w:ascii="仿宋_GB2312"/>
          <w:color w:val="0000FF"/>
          <w:sz w:val="32"/>
          <w:szCs w:val="32"/>
          <w:lang w:val="en-US" w:eastAsia="zh-CN"/>
        </w:rPr>
        <w:t>新业态新模式，促进现代服务业与先进制造业深度融合发展</w:t>
      </w:r>
      <w:r>
        <w:rPr>
          <w:rFonts w:hint="eastAsia" w:ascii="仿宋_GB2312"/>
          <w:color w:val="0000FF"/>
          <w:sz w:val="32"/>
          <w:szCs w:val="32"/>
        </w:rPr>
        <w:t>。到2025年，规模以上工业产值达到600亿元、工业总产值超1000亿元。</w:t>
      </w:r>
    </w:p>
    <w:p>
      <w:pPr>
        <w:pStyle w:val="4"/>
        <w:spacing w:line="560" w:lineRule="exact"/>
        <w:ind w:firstLine="602"/>
        <w:contextualSpacing/>
        <w:rPr>
          <w:rFonts w:ascii="楷体_GB2312" w:eastAsia="楷体_GB2312"/>
          <w:color w:val="000000"/>
        </w:rPr>
      </w:pPr>
      <w:bookmarkStart w:id="15" w:name="_Toc30352"/>
      <w:bookmarkStart w:id="16" w:name="_Hlk66980484"/>
      <w:r>
        <w:rPr>
          <w:rFonts w:hint="eastAsia" w:ascii="楷体_GB2312" w:eastAsia="楷体_GB2312"/>
          <w:color w:val="000000"/>
        </w:rPr>
        <w:t>（一）高端不锈钢（精密制造）产业</w:t>
      </w:r>
      <w:bookmarkEnd w:id="15"/>
    </w:p>
    <w:bookmarkEnd w:id="16"/>
    <w:p>
      <w:pPr>
        <w:tabs>
          <w:tab w:val="left" w:pos="3405"/>
        </w:tabs>
        <w:spacing w:line="560" w:lineRule="exact"/>
        <w:ind w:firstLine="643"/>
        <w:contextualSpacing/>
        <w:outlineLvl w:val="2"/>
        <w:rPr>
          <w:rFonts w:ascii="仿宋_GB2312"/>
          <w:b/>
          <w:kern w:val="0"/>
          <w:sz w:val="32"/>
          <w:shd w:val="clear" w:color="auto" w:fill="FFFFFF"/>
        </w:rPr>
      </w:pPr>
      <w:r>
        <w:rPr>
          <w:rFonts w:hint="eastAsia" w:ascii="仿宋_GB2312"/>
          <w:b/>
          <w:sz w:val="32"/>
          <w:szCs w:val="32"/>
          <w:shd w:val="clear" w:color="auto" w:fill="FFFFFF"/>
        </w:rPr>
        <w:t>1、目标定位</w:t>
      </w:r>
    </w:p>
    <w:p>
      <w:pPr>
        <w:spacing w:line="560" w:lineRule="exact"/>
        <w:ind w:firstLine="640"/>
        <w:rPr>
          <w:rFonts w:ascii="仿宋_GB2312"/>
          <w:color w:val="000000"/>
          <w:sz w:val="32"/>
          <w:szCs w:val="32"/>
        </w:rPr>
      </w:pPr>
      <w:r>
        <w:rPr>
          <w:rFonts w:hint="eastAsia" w:ascii="仿宋_GB2312"/>
          <w:color w:val="000000"/>
          <w:sz w:val="32"/>
          <w:szCs w:val="32"/>
        </w:rPr>
        <w:t>以青山钢铁集团为龙头，打造不锈钢产业链共同体，重点建设产业链协同创新、新品研发、实验检测等平台，积极布局下游钢管、管件精加工、高端棒材及港口码头、海运运输业务，力主构建更加完善的全产业链，着力推动不锈钢产业向高性能、高附加值、高功能型等方向发展，实现高端不锈钢产品产业化，在产业链创新能力、龙头企业竞争力、产品中高端市场占有率等方面努力达到国际、国内先进水平。到202</w:t>
      </w:r>
      <w:r>
        <w:rPr>
          <w:rFonts w:ascii="仿宋_GB2312"/>
          <w:color w:val="000000"/>
          <w:sz w:val="32"/>
          <w:szCs w:val="32"/>
        </w:rPr>
        <w:t>5</w:t>
      </w:r>
      <w:r>
        <w:rPr>
          <w:rFonts w:hint="eastAsia" w:ascii="仿宋_GB2312"/>
          <w:color w:val="000000"/>
          <w:sz w:val="32"/>
          <w:szCs w:val="32"/>
        </w:rPr>
        <w:t>年，</w:t>
      </w:r>
      <w:r>
        <w:rPr>
          <w:rFonts w:hint="eastAsia" w:ascii="仿宋_GB2312"/>
          <w:color w:val="0000FF"/>
          <w:sz w:val="32"/>
          <w:szCs w:val="32"/>
        </w:rPr>
        <w:t>高端不锈钢上下游主营业务实现规上工业总产值</w:t>
      </w:r>
      <w:r>
        <w:rPr>
          <w:rFonts w:hint="eastAsia" w:ascii="仿宋_GB2312"/>
          <w:color w:val="0000FF"/>
          <w:sz w:val="32"/>
          <w:szCs w:val="32"/>
          <w:lang w:val="en-US" w:eastAsia="zh-CN"/>
        </w:rPr>
        <w:t>100</w:t>
      </w:r>
      <w:r>
        <w:rPr>
          <w:rFonts w:hint="eastAsia" w:ascii="仿宋_GB2312"/>
          <w:color w:val="0000FF"/>
          <w:sz w:val="32"/>
          <w:szCs w:val="32"/>
        </w:rPr>
        <w:t>亿元</w:t>
      </w:r>
      <w:r>
        <w:rPr>
          <w:rFonts w:hint="eastAsia" w:ascii="仿宋_GB2312"/>
          <w:color w:val="000000"/>
          <w:sz w:val="32"/>
          <w:szCs w:val="32"/>
        </w:rPr>
        <w:t>，</w:t>
      </w:r>
      <w:r>
        <w:rPr>
          <w:rFonts w:hint="eastAsia" w:ascii="仿宋_GB2312"/>
          <w:b/>
          <w:bCs/>
          <w:color w:val="000000"/>
          <w:sz w:val="32"/>
          <w:szCs w:val="32"/>
        </w:rPr>
        <w:t>不锈钢吨钢综合能耗领跑全国</w:t>
      </w:r>
      <w:r>
        <w:rPr>
          <w:rFonts w:hint="eastAsia" w:ascii="仿宋_GB2312"/>
          <w:color w:val="000000"/>
          <w:sz w:val="32"/>
          <w:szCs w:val="32"/>
        </w:rPr>
        <w:t>，打造成为</w:t>
      </w:r>
      <w:r>
        <w:rPr>
          <w:rFonts w:hint="eastAsia" w:ascii="仿宋_GB2312"/>
          <w:b/>
          <w:bCs/>
          <w:color w:val="000000"/>
          <w:sz w:val="32"/>
          <w:szCs w:val="32"/>
        </w:rPr>
        <w:t>全省最大的高端不锈钢生产基地</w:t>
      </w:r>
      <w:r>
        <w:rPr>
          <w:rFonts w:hint="eastAsia" w:ascii="仿宋_GB2312"/>
          <w:color w:val="000000"/>
          <w:sz w:val="32"/>
          <w:szCs w:val="32"/>
        </w:rPr>
        <w:t>。</w:t>
      </w:r>
    </w:p>
    <w:p>
      <w:pPr>
        <w:tabs>
          <w:tab w:val="left" w:pos="3405"/>
        </w:tabs>
        <w:spacing w:line="560" w:lineRule="exact"/>
        <w:ind w:firstLine="643"/>
        <w:contextualSpacing/>
        <w:outlineLvl w:val="2"/>
        <w:rPr>
          <w:rFonts w:ascii="仿宋_GB2312"/>
          <w:b/>
          <w:kern w:val="0"/>
          <w:sz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重点发展绿色环保钢种。</w:t>
      </w:r>
      <w:r>
        <w:rPr>
          <w:rFonts w:hint="eastAsia" w:ascii="仿宋_GB2312"/>
          <w:color w:val="000000"/>
          <w:sz w:val="32"/>
          <w:szCs w:val="32"/>
        </w:rPr>
        <w:t>支持开发1Ni耐海洋环境桥梁钢板等绿色环保钢种。贯彻废钢炼钢比目标要求，应用发展短流程炼钢工艺，持续改进节能、节水、减排优势明显的电炉冶炼（EAF）方式。</w:t>
      </w:r>
    </w:p>
    <w:p>
      <w:pPr>
        <w:spacing w:line="560" w:lineRule="exact"/>
        <w:ind w:firstLine="643"/>
        <w:rPr>
          <w:rFonts w:ascii="仿宋_GB2312"/>
          <w:color w:val="000000"/>
          <w:sz w:val="32"/>
          <w:szCs w:val="32"/>
        </w:rPr>
      </w:pPr>
      <w:r>
        <w:rPr>
          <w:rFonts w:hint="eastAsia" w:ascii="仿宋_GB2312"/>
          <w:b/>
          <w:bCs/>
          <w:color w:val="000000"/>
          <w:sz w:val="32"/>
          <w:szCs w:val="32"/>
        </w:rPr>
        <w:t>发展新一代信息技术用不锈钢。</w:t>
      </w:r>
      <w:r>
        <w:rPr>
          <w:rFonts w:hint="eastAsia" w:ascii="仿宋_GB2312"/>
          <w:color w:val="000000"/>
          <w:sz w:val="32"/>
          <w:szCs w:val="32"/>
        </w:rPr>
        <w:t>面向国防设备、海工设备、航空航天、石化、能源等特殊领域的高性能不锈钢；耐热、耐腐蚀、抗菌等的高功能型不锈钢；核电管、耐蚀航空管等进口替代高端不锈钢；开发高于行业标准的前沿的超薄的不锈钢，主要应用在航空航天、石油化工、汽车、电子、家电、计算机等领域。</w:t>
      </w:r>
    </w:p>
    <w:p>
      <w:pPr>
        <w:spacing w:line="560" w:lineRule="exact"/>
        <w:ind w:firstLine="643"/>
        <w:rPr>
          <w:rFonts w:ascii="仿宋_GB2312"/>
          <w:color w:val="000000"/>
          <w:sz w:val="32"/>
          <w:szCs w:val="32"/>
        </w:rPr>
      </w:pPr>
      <w:r>
        <w:rPr>
          <w:rFonts w:hint="eastAsia" w:ascii="仿宋_GB2312"/>
          <w:b/>
          <w:bCs/>
          <w:color w:val="000000"/>
          <w:sz w:val="32"/>
          <w:szCs w:val="32"/>
        </w:rPr>
        <w:t>提升</w:t>
      </w:r>
      <w:r>
        <w:rPr>
          <w:rFonts w:ascii="仿宋_GB2312"/>
          <w:b/>
          <w:bCs/>
          <w:color w:val="000000"/>
          <w:sz w:val="32"/>
          <w:szCs w:val="32"/>
        </w:rPr>
        <w:t>超级双相不锈钢</w:t>
      </w:r>
      <w:r>
        <w:rPr>
          <w:rFonts w:hint="eastAsia" w:ascii="仿宋_GB2312"/>
          <w:b/>
          <w:bCs/>
          <w:color w:val="000000"/>
          <w:sz w:val="32"/>
          <w:szCs w:val="32"/>
        </w:rPr>
        <w:t>、沉淀硬化不锈钢、</w:t>
      </w:r>
      <w:r>
        <w:rPr>
          <w:rFonts w:ascii="仿宋_GB2312"/>
          <w:b/>
          <w:bCs/>
          <w:color w:val="000000"/>
          <w:sz w:val="32"/>
          <w:szCs w:val="32"/>
        </w:rPr>
        <w:t>400系不锈钢</w:t>
      </w:r>
      <w:r>
        <w:rPr>
          <w:rFonts w:hint="eastAsia" w:ascii="仿宋_GB2312"/>
          <w:b/>
          <w:bCs/>
          <w:color w:val="000000"/>
          <w:sz w:val="32"/>
          <w:szCs w:val="32"/>
        </w:rPr>
        <w:t>、易切削不锈钢、耐热不锈钢、气阀钢和模具钢</w:t>
      </w:r>
      <w:r>
        <w:rPr>
          <w:rFonts w:ascii="仿宋_GB2312"/>
          <w:b/>
          <w:bCs/>
          <w:color w:val="000000"/>
          <w:sz w:val="32"/>
          <w:szCs w:val="32"/>
        </w:rPr>
        <w:t>等</w:t>
      </w:r>
      <w:r>
        <w:rPr>
          <w:rFonts w:hint="eastAsia" w:ascii="仿宋_GB2312"/>
          <w:b/>
          <w:bCs/>
          <w:color w:val="000000"/>
          <w:sz w:val="32"/>
          <w:szCs w:val="32"/>
        </w:rPr>
        <w:t>系列产品品质。</w:t>
      </w:r>
      <w:r>
        <w:rPr>
          <w:rFonts w:hint="eastAsia" w:ascii="仿宋_GB2312"/>
          <w:color w:val="000000"/>
          <w:sz w:val="32"/>
          <w:szCs w:val="32"/>
        </w:rPr>
        <w:t>高品质不锈钢，高性能工模具用钢，耐腐蚀及耐高温，高压高强钢，高性能工程用钢等。推进不锈钢复合材及深加工、标准和非标配件以及成套设备、厨卫设备、建筑装饰等精深加工产品发展。</w:t>
      </w:r>
    </w:p>
    <w:p>
      <w:pPr>
        <w:widowControl/>
        <w:spacing w:line="560" w:lineRule="exact"/>
        <w:ind w:firstLine="643"/>
        <w:jc w:val="left"/>
        <w:rPr>
          <w:rFonts w:ascii="仿宋_GB2312"/>
          <w:color w:val="000000"/>
          <w:sz w:val="32"/>
          <w:szCs w:val="32"/>
        </w:rPr>
      </w:pPr>
      <w:r>
        <w:rPr>
          <w:rFonts w:hint="eastAsia" w:ascii="仿宋_GB2312"/>
          <w:b/>
          <w:bCs/>
          <w:color w:val="000000"/>
          <w:sz w:val="32"/>
          <w:szCs w:val="32"/>
        </w:rPr>
        <w:t>发展精密不锈钢运用于医疗器械。</w:t>
      </w:r>
      <w:r>
        <w:rPr>
          <w:rFonts w:hint="eastAsia" w:ascii="仿宋_GB2312"/>
          <w:color w:val="000000"/>
          <w:sz w:val="32"/>
          <w:szCs w:val="32"/>
        </w:rPr>
        <w:t>利用304不锈钢的耐腐蚀性，运用于输液架、听诊器、轮椅等常用的医疗器械上；发挥316不锈钢的耐高温强度，运用于如外科手术台支架等的重要医疗器械，提高医疗器械的使用寿命、保证健康安全。</w:t>
      </w:r>
    </w:p>
    <w:p>
      <w:pPr>
        <w:spacing w:line="560" w:lineRule="exact"/>
        <w:ind w:firstLine="643"/>
        <w:rPr>
          <w:rFonts w:ascii="仿宋_GB2312"/>
          <w:color w:val="000000"/>
          <w:sz w:val="32"/>
          <w:szCs w:val="32"/>
        </w:rPr>
      </w:pPr>
      <w:r>
        <w:rPr>
          <w:rFonts w:hint="eastAsia" w:ascii="仿宋_GB2312"/>
          <w:b/>
          <w:bCs/>
          <w:color w:val="000000"/>
          <w:sz w:val="32"/>
          <w:szCs w:val="32"/>
        </w:rPr>
        <w:t>发展军民融合的高端不锈钢。</w:t>
      </w:r>
      <w:r>
        <w:rPr>
          <w:rFonts w:hint="eastAsia" w:ascii="仿宋_GB2312"/>
          <w:color w:val="000000"/>
          <w:sz w:val="32"/>
          <w:szCs w:val="32"/>
        </w:rPr>
        <w:t>以“军转民”“民参军”为突破口，着力打造不锈钢产业和军民融合产业双特色产业园，研发军民融合的高端不锈钢制品。</w:t>
      </w:r>
    </w:p>
    <w:p>
      <w:pPr>
        <w:spacing w:line="560" w:lineRule="exact"/>
        <w:ind w:firstLine="643"/>
        <w:rPr>
          <w:rFonts w:ascii="仿宋_GB2312"/>
          <w:color w:val="000000"/>
          <w:sz w:val="32"/>
          <w:szCs w:val="32"/>
        </w:rPr>
      </w:pPr>
      <w:r>
        <w:rPr>
          <w:rFonts w:hint="eastAsia" w:ascii="仿宋_GB2312"/>
          <w:b/>
          <w:bCs/>
          <w:color w:val="000000"/>
          <w:sz w:val="32"/>
          <w:szCs w:val="32"/>
        </w:rPr>
        <w:t>研发特殊合金制品。</w:t>
      </w:r>
      <w:r>
        <w:rPr>
          <w:rFonts w:hint="eastAsia" w:ascii="仿宋_GB2312"/>
          <w:color w:val="000000"/>
          <w:sz w:val="32"/>
          <w:szCs w:val="32"/>
        </w:rPr>
        <w:t>创新研发特殊合金，主要包括铁镍基合金、镍基合金、精密合金、超级奥氏体不锈钢、尿素级不锈钢、外科植入物用不锈钢、沉淀硬化不锈钢等产品。</w:t>
      </w:r>
    </w:p>
    <w:p>
      <w:pPr>
        <w:spacing w:line="560" w:lineRule="exact"/>
        <w:ind w:firstLine="643"/>
        <w:rPr>
          <w:rFonts w:ascii="仿宋_GB2312"/>
          <w:color w:val="000000"/>
          <w:sz w:val="32"/>
          <w:szCs w:val="32"/>
        </w:rPr>
      </w:pPr>
      <w:r>
        <w:rPr>
          <w:rFonts w:hint="eastAsia" w:ascii="仿宋_GB2312"/>
          <w:b/>
          <w:bCs/>
          <w:color w:val="000000"/>
          <w:sz w:val="32"/>
          <w:szCs w:val="32"/>
        </w:rPr>
        <w:t>开辟高端用户市场。</w:t>
      </w:r>
      <w:r>
        <w:rPr>
          <w:rFonts w:hint="eastAsia" w:ascii="仿宋_GB2312"/>
          <w:color w:val="000000"/>
          <w:sz w:val="32"/>
          <w:szCs w:val="32"/>
        </w:rPr>
        <w:t>拓宽高端精密电子行业、进入高端手机行业，联合顶级厨具品牌研发高端深冲不锈钢产品。与世界知名高温合金和不锈钢制造商ATI公司组建合资公司，形成技术和品牌优势互补；与全球特殊钢材引领者斯穆碧根柏集团成立合资公司，生产精密不锈钢棒材。</w:t>
      </w:r>
    </w:p>
    <w:p>
      <w:pPr>
        <w:tabs>
          <w:tab w:val="left" w:pos="3405"/>
        </w:tabs>
        <w:spacing w:line="560" w:lineRule="exact"/>
        <w:ind w:firstLine="643"/>
        <w:contextualSpacing/>
        <w:outlineLvl w:val="2"/>
        <w:rPr>
          <w:rFonts w:ascii="仿宋_GB2312"/>
          <w:b/>
          <w:kern w:val="0"/>
          <w:sz w:val="32"/>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实施增品种、提品质、创品牌的“三品”战略。</w:t>
      </w:r>
      <w:r>
        <w:rPr>
          <w:rFonts w:hint="eastAsia" w:ascii="仿宋_GB2312"/>
          <w:color w:val="000000"/>
          <w:sz w:val="32"/>
          <w:szCs w:val="32"/>
        </w:rPr>
        <w:t>开发高品质、低成本、节能环保的不锈钢产品。</w:t>
      </w:r>
      <w:r>
        <w:rPr>
          <w:rFonts w:ascii="仿宋_GB2312"/>
          <w:color w:val="000000"/>
          <w:sz w:val="32"/>
          <w:szCs w:val="32"/>
        </w:rPr>
        <w:t>通过对材料在使用状态下行为的探索，研究材料的易用性、可靠性、耐用性、寿命预期和延寿措施，</w:t>
      </w:r>
      <w:r>
        <w:rPr>
          <w:rFonts w:hint="eastAsia" w:ascii="仿宋_GB2312"/>
          <w:color w:val="000000"/>
          <w:sz w:val="32"/>
          <w:szCs w:val="32"/>
        </w:rPr>
        <w:t>促进</w:t>
      </w:r>
      <w:r>
        <w:rPr>
          <w:rFonts w:ascii="仿宋_GB2312"/>
          <w:color w:val="000000"/>
          <w:sz w:val="32"/>
          <w:szCs w:val="32"/>
        </w:rPr>
        <w:t>全球一流的高品质不锈钢及特殊合金材料研发</w:t>
      </w:r>
      <w:r>
        <w:rPr>
          <w:rFonts w:hint="eastAsia" w:ascii="仿宋_GB2312"/>
          <w:color w:val="000000"/>
          <w:sz w:val="32"/>
          <w:szCs w:val="32"/>
        </w:rPr>
        <w:t>和</w:t>
      </w:r>
      <w:r>
        <w:rPr>
          <w:rFonts w:ascii="仿宋_GB2312"/>
          <w:color w:val="000000"/>
          <w:sz w:val="32"/>
          <w:szCs w:val="32"/>
        </w:rPr>
        <w:t>生产基地</w:t>
      </w:r>
      <w:r>
        <w:rPr>
          <w:rFonts w:hint="eastAsia" w:ascii="仿宋_GB2312"/>
          <w:color w:val="000000"/>
          <w:sz w:val="32"/>
          <w:szCs w:val="32"/>
        </w:rPr>
        <w:t>建设。</w:t>
      </w:r>
      <w:r>
        <w:rPr>
          <w:rFonts w:ascii="仿宋_GB2312"/>
          <w:color w:val="000000"/>
          <w:sz w:val="32"/>
          <w:szCs w:val="32"/>
        </w:rPr>
        <w:t>加快不锈钢企业向高品质、高效率、低能耗、低污染的现代化企业转型升级。</w:t>
      </w:r>
    </w:p>
    <w:p>
      <w:pPr>
        <w:spacing w:line="560" w:lineRule="exact"/>
        <w:ind w:firstLine="643"/>
        <w:rPr>
          <w:rFonts w:ascii="仿宋_GB2312"/>
          <w:color w:val="000000"/>
          <w:sz w:val="32"/>
          <w:szCs w:val="32"/>
        </w:rPr>
      </w:pPr>
      <w:r>
        <w:rPr>
          <w:rFonts w:ascii="仿宋_GB2312"/>
          <w:b/>
          <w:bCs/>
          <w:color w:val="000000"/>
          <w:sz w:val="32"/>
          <w:szCs w:val="32"/>
        </w:rPr>
        <w:t>提高“机器换人”</w:t>
      </w:r>
      <w:r>
        <w:rPr>
          <w:rFonts w:hint="eastAsia" w:ascii="仿宋_GB2312"/>
          <w:b/>
          <w:bCs/>
          <w:color w:val="000000"/>
          <w:sz w:val="32"/>
          <w:szCs w:val="32"/>
        </w:rPr>
        <w:t>、</w:t>
      </w:r>
      <w:r>
        <w:rPr>
          <w:rFonts w:ascii="仿宋_GB2312"/>
          <w:b/>
          <w:bCs/>
          <w:color w:val="000000"/>
          <w:sz w:val="32"/>
          <w:szCs w:val="32"/>
        </w:rPr>
        <w:t>“互联网+”的覆盖率</w:t>
      </w:r>
      <w:r>
        <w:rPr>
          <w:rFonts w:hint="eastAsia" w:ascii="仿宋_GB2312"/>
          <w:b/>
          <w:bCs/>
          <w:color w:val="000000"/>
          <w:sz w:val="32"/>
          <w:szCs w:val="32"/>
        </w:rPr>
        <w:t>。</w:t>
      </w:r>
      <w:r>
        <w:rPr>
          <w:rFonts w:ascii="仿宋_GB2312"/>
          <w:color w:val="000000"/>
          <w:sz w:val="32"/>
          <w:szCs w:val="32"/>
        </w:rPr>
        <w:t>鼓励企业改变过去粗放的生产工艺和方式，加大自动化、智能化设备的改造投入，大力推进信息基础设施建设，深入聚焦企业自动化、数控化和智能化水平提升，鼓励不锈钢企业开展工业互联网创新运用，迈出智能化生产新步伐。</w:t>
      </w:r>
    </w:p>
    <w:p>
      <w:pPr>
        <w:spacing w:line="560" w:lineRule="exact"/>
        <w:ind w:firstLine="643"/>
        <w:rPr>
          <w:rFonts w:ascii="仿宋_GB2312"/>
          <w:color w:val="000000"/>
          <w:sz w:val="32"/>
          <w:szCs w:val="32"/>
        </w:rPr>
      </w:pPr>
      <w:r>
        <w:rPr>
          <w:rFonts w:hint="eastAsia" w:ascii="仿宋_GB2312"/>
          <w:b/>
          <w:bCs/>
          <w:color w:val="000000"/>
          <w:sz w:val="32"/>
          <w:szCs w:val="32"/>
        </w:rPr>
        <w:t>持续改进生产工艺。</w:t>
      </w:r>
      <w:r>
        <w:rPr>
          <w:rFonts w:hint="eastAsia" w:ascii="仿宋_GB2312"/>
          <w:color w:val="000000"/>
          <w:sz w:val="32"/>
          <w:szCs w:val="32"/>
        </w:rPr>
        <w:t>支持研发在线控冷工艺技术、精准化均匀化温控技术，推动不锈钢生产过程高效化、减量化、节能化、集约化发展。改进冶炼、连铸、热轧和退火酸洗等全流程生产工艺，优化合金设计。开创全球第一条RKEF-AOD全程热送一体化不锈钢生产线，自主创新移动式AOD炉、RKEF+AOD、氩氧脱碳精炼系统装置、水平连铸中间包加热装置等多项工艺。</w:t>
      </w:r>
    </w:p>
    <w:p>
      <w:pPr>
        <w:spacing w:line="560" w:lineRule="exact"/>
        <w:ind w:firstLine="643"/>
        <w:rPr>
          <w:rFonts w:ascii="仿宋_GB2312"/>
          <w:color w:val="000000"/>
          <w:sz w:val="32"/>
          <w:szCs w:val="32"/>
        </w:rPr>
      </w:pPr>
      <w:r>
        <w:rPr>
          <w:rFonts w:hint="eastAsia" w:ascii="仿宋_GB2312"/>
          <w:b/>
          <w:bCs/>
          <w:color w:val="000000"/>
          <w:sz w:val="32"/>
          <w:szCs w:val="32"/>
        </w:rPr>
        <w:t>促进不锈钢园区建设带动集群化发展。</w:t>
      </w:r>
      <w:r>
        <w:rPr>
          <w:rFonts w:hint="eastAsia" w:ascii="仿宋_GB2312"/>
          <w:color w:val="000000"/>
          <w:sz w:val="32"/>
          <w:szCs w:val="32"/>
        </w:rPr>
        <w:t>围绕不锈钢主导产业，依托不锈钢生产企业原料优势，延伸产业链条，提升产品附加值，推动构建全产业链一体化，建设形成了一批不锈钢产业园区。</w:t>
      </w:r>
    </w:p>
    <w:p>
      <w:pPr>
        <w:ind w:firstLine="0" w:firstLineChars="0"/>
        <w:jc w:val="center"/>
        <w:rPr>
          <w:rFonts w:ascii="仿宋_GB2312"/>
          <w:sz w:val="32"/>
          <w:szCs w:val="32"/>
        </w:rPr>
      </w:pPr>
      <w:r>
        <w:rPr>
          <w:rFonts w:ascii="仿宋_GB2312"/>
          <w:b/>
          <w:bCs/>
          <w:color w:val="000000"/>
          <w:sz w:val="32"/>
          <w:szCs w:val="32"/>
        </w:rPr>
        <w:drawing>
          <wp:inline distT="0" distB="0" distL="0" distR="0">
            <wp:extent cx="5379720" cy="28905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95034" cy="2890520"/>
                    </a:xfrm>
                    <a:prstGeom prst="rect">
                      <a:avLst/>
                    </a:prstGeom>
                    <a:noFill/>
                    <a:ln>
                      <a:noFill/>
                    </a:ln>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1 </w:t>
      </w:r>
      <w:r>
        <w:rPr>
          <w:rFonts w:hint="eastAsia" w:eastAsia="黑体"/>
          <w:sz w:val="24"/>
          <w:szCs w:val="22"/>
          <w:shd w:val="clear" w:color="auto" w:fill="FFFFFF"/>
        </w:rPr>
        <w:t>高端不锈钢产业升级路线图</w:t>
      </w:r>
    </w:p>
    <w:p>
      <w:pPr>
        <w:pStyle w:val="4"/>
        <w:spacing w:line="560" w:lineRule="exact"/>
        <w:ind w:firstLine="602"/>
        <w:contextualSpacing/>
        <w:rPr>
          <w:rFonts w:ascii="楷体_GB2312" w:eastAsia="楷体_GB2312"/>
          <w:color w:val="000000"/>
        </w:rPr>
      </w:pPr>
      <w:bookmarkStart w:id="17" w:name="_Toc1496"/>
      <w:bookmarkStart w:id="18" w:name="_Hlk66980510"/>
      <w:r>
        <w:rPr>
          <w:rFonts w:hint="eastAsia" w:ascii="楷体_GB2312" w:eastAsia="楷体_GB2312"/>
          <w:color w:val="000000"/>
        </w:rPr>
        <w:t>（</w:t>
      </w:r>
      <w:r>
        <w:rPr>
          <w:rFonts w:hint="eastAsia" w:ascii="楷体_GB2312" w:eastAsia="楷体_GB2312"/>
          <w:color w:val="000000"/>
          <w:lang w:val="en-US" w:eastAsia="zh-CN"/>
        </w:rPr>
        <w:t>二</w:t>
      </w:r>
      <w:r>
        <w:rPr>
          <w:rFonts w:hint="eastAsia" w:ascii="楷体_GB2312" w:eastAsia="楷体_GB2312"/>
          <w:color w:val="000000"/>
        </w:rPr>
        <w:t>）时尚（鞋服）产业</w:t>
      </w:r>
      <w:bookmarkEnd w:id="17"/>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1、目标定位</w:t>
      </w:r>
    </w:p>
    <w:p>
      <w:pPr>
        <w:spacing w:line="560" w:lineRule="exact"/>
        <w:ind w:firstLine="640"/>
        <w:rPr>
          <w:rFonts w:ascii="仿宋_GB2312"/>
          <w:color w:val="000000"/>
          <w:sz w:val="32"/>
          <w:szCs w:val="32"/>
        </w:rPr>
      </w:pPr>
      <w:r>
        <w:rPr>
          <w:rFonts w:hint="eastAsia" w:ascii="仿宋_GB2312"/>
          <w:color w:val="000000"/>
          <w:sz w:val="32"/>
          <w:szCs w:val="32"/>
        </w:rPr>
        <w:t>以提升产业基础高级化和产业链现代化水平为核心，按照“强两端、优中间”的思路，以意尔康、起步股份为龙头，打造鞋产业创新服务综合体，整合鞋服产业上下游企业，加快形成鞋服产业发展共同体；到202</w:t>
      </w:r>
      <w:r>
        <w:rPr>
          <w:rFonts w:ascii="仿宋_GB2312"/>
          <w:color w:val="000000"/>
          <w:sz w:val="32"/>
          <w:szCs w:val="32"/>
        </w:rPr>
        <w:t>5</w:t>
      </w:r>
      <w:r>
        <w:rPr>
          <w:rFonts w:hint="eastAsia" w:ascii="仿宋_GB2312"/>
          <w:color w:val="000000"/>
          <w:sz w:val="32"/>
          <w:szCs w:val="32"/>
        </w:rPr>
        <w:t>年，时尚休闲主营业务收入达到100亿</w:t>
      </w:r>
      <w:r>
        <w:rPr>
          <w:rFonts w:hint="eastAsia" w:ascii="仿宋_GB2312"/>
          <w:color w:val="000000"/>
          <w:sz w:val="32"/>
          <w:szCs w:val="32"/>
          <w:lang w:val="en-US" w:eastAsia="zh-CN"/>
        </w:rPr>
        <w:t>元</w:t>
      </w:r>
      <w:r>
        <w:rPr>
          <w:rFonts w:hint="eastAsia" w:ascii="仿宋_GB2312"/>
          <w:color w:val="000000"/>
          <w:sz w:val="32"/>
          <w:szCs w:val="32"/>
        </w:rPr>
        <w:t>，形成技术领先、产品高端、品牌响亮的万亿级国际先进鞋服产业集群，成为</w:t>
      </w:r>
      <w:r>
        <w:rPr>
          <w:rFonts w:hint="eastAsia" w:ascii="仿宋_GB2312"/>
          <w:b/>
          <w:bCs/>
          <w:color w:val="000000"/>
          <w:sz w:val="32"/>
          <w:szCs w:val="32"/>
        </w:rPr>
        <w:t>国内知名的成品鞋生产基地</w:t>
      </w:r>
      <w:r>
        <w:rPr>
          <w:rFonts w:hint="eastAsia" w:ascii="仿宋_GB2312"/>
          <w:color w:val="000000"/>
          <w:sz w:val="32"/>
          <w:szCs w:val="32"/>
        </w:rPr>
        <w:t>。</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时尚鞋服。</w:t>
      </w:r>
      <w:r>
        <w:rPr>
          <w:rFonts w:hint="eastAsia" w:ascii="仿宋_GB2312"/>
          <w:color w:val="000000"/>
          <w:sz w:val="32"/>
          <w:szCs w:val="32"/>
        </w:rPr>
        <w:t>重点发展时尚鞋服、皮革制品，研发推广智能型鞋包。鼓励鞋服产业个性化定制生产。扩大生态皮革、特殊效应和特种鞋服原材料的选用，进一步提升已有产品系列的加工工艺与产品品质。</w:t>
      </w:r>
    </w:p>
    <w:p>
      <w:pPr>
        <w:spacing w:line="560" w:lineRule="exact"/>
        <w:ind w:firstLine="643"/>
        <w:rPr>
          <w:rFonts w:ascii="仿宋_GB2312"/>
          <w:color w:val="000000"/>
          <w:sz w:val="32"/>
          <w:szCs w:val="32"/>
        </w:rPr>
      </w:pPr>
      <w:r>
        <w:rPr>
          <w:rFonts w:hint="eastAsia" w:ascii="仿宋_GB2312"/>
          <w:b/>
          <w:bCs/>
          <w:color w:val="000000"/>
          <w:sz w:val="32"/>
          <w:szCs w:val="32"/>
        </w:rPr>
        <w:t>时尚家居</w:t>
      </w:r>
      <w:r>
        <w:rPr>
          <w:rFonts w:hint="eastAsia" w:ascii="仿宋_GB2312"/>
          <w:color w:val="000000"/>
          <w:sz w:val="32"/>
          <w:szCs w:val="32"/>
        </w:rPr>
        <w:t>。重点发展时尚家具、家电、厨具、工艺美术品及家用纺织品等。强化家居用品的绿色环保、节能降耗、智能高效以及美观舒适性。</w:t>
      </w:r>
    </w:p>
    <w:p>
      <w:pPr>
        <w:spacing w:line="560" w:lineRule="exact"/>
        <w:ind w:firstLine="643"/>
        <w:rPr>
          <w:rFonts w:ascii="仿宋_GB2312"/>
          <w:color w:val="000000"/>
          <w:sz w:val="32"/>
          <w:szCs w:val="32"/>
        </w:rPr>
      </w:pPr>
      <w:r>
        <w:rPr>
          <w:rFonts w:hint="eastAsia" w:ascii="仿宋_GB2312"/>
          <w:b/>
          <w:bCs/>
          <w:color w:val="000000"/>
          <w:sz w:val="32"/>
          <w:szCs w:val="32"/>
        </w:rPr>
        <w:t>珠宝首饰与化妆品</w:t>
      </w:r>
      <w:r>
        <w:rPr>
          <w:rFonts w:hint="eastAsia" w:ascii="仿宋_GB2312"/>
          <w:color w:val="000000"/>
          <w:sz w:val="32"/>
          <w:szCs w:val="32"/>
        </w:rPr>
        <w:t>。重点发展首饰、珠宝、化妆品等产业，进一步提升产品时尚、艺术及民族感，提升设计水平，创新化妆品包装设计，加大化妆品新产品的研发投入。</w:t>
      </w:r>
    </w:p>
    <w:p>
      <w:pPr>
        <w:spacing w:line="560" w:lineRule="exact"/>
        <w:ind w:firstLine="643"/>
        <w:rPr>
          <w:rFonts w:ascii="仿宋_GB2312" w:hAnsi="仿宋_GB2312" w:cs="仿宋_GB2312"/>
          <w:sz w:val="32"/>
          <w:szCs w:val="32"/>
        </w:rPr>
      </w:pPr>
      <w:r>
        <w:rPr>
          <w:rFonts w:hint="eastAsia" w:ascii="仿宋_GB2312"/>
          <w:b/>
          <w:bCs/>
          <w:color w:val="000000"/>
          <w:sz w:val="32"/>
          <w:szCs w:val="32"/>
        </w:rPr>
        <w:t>石雕产业。</w:t>
      </w:r>
      <w:r>
        <w:rPr>
          <w:rFonts w:hint="eastAsia"/>
          <w:sz w:val="32"/>
          <w:szCs w:val="22"/>
        </w:rPr>
        <w:t>引导青田石雕产业从工艺品向工业品拓展。</w:t>
      </w:r>
      <w:r>
        <w:rPr>
          <w:rFonts w:hint="eastAsia" w:ascii="仿宋_GB2312" w:hAnsi="仿宋_GB2312" w:cs="仿宋_GB2312"/>
          <w:sz w:val="32"/>
          <w:szCs w:val="32"/>
        </w:rPr>
        <w:t>以大安石雕园等为载体，汇聚石雕人才、石雕企业，引入第三方工业设计企业，培育壮大以青田石雕刻为主的工艺美术业。</w:t>
      </w:r>
    </w:p>
    <w:p>
      <w:pPr>
        <w:spacing w:line="560" w:lineRule="exact"/>
        <w:ind w:firstLine="643"/>
        <w:rPr>
          <w:rFonts w:ascii="仿宋_GB2312"/>
          <w:sz w:val="32"/>
          <w:szCs w:val="32"/>
          <w:shd w:val="clear" w:color="auto" w:fill="FFFFFF"/>
        </w:rPr>
      </w:pPr>
      <w:r>
        <w:rPr>
          <w:rFonts w:hint="eastAsia" w:ascii="仿宋_GB2312"/>
          <w:b/>
          <w:bCs/>
          <w:sz w:val="32"/>
          <w:szCs w:val="32"/>
          <w:shd w:val="clear" w:color="auto" w:fill="FFFFFF"/>
        </w:rPr>
        <w:t>健康食品饮料。</w:t>
      </w:r>
      <w:r>
        <w:rPr>
          <w:rFonts w:hint="eastAsia" w:ascii="仿宋_GB2312"/>
          <w:sz w:val="32"/>
          <w:szCs w:val="32"/>
          <w:shd w:val="clear" w:color="auto" w:fill="FFFFFF"/>
        </w:rPr>
        <w:t>依托侨乡优势，引进达人</w:t>
      </w:r>
      <w:r>
        <w:rPr>
          <w:rFonts w:ascii="仿宋_GB2312"/>
          <w:sz w:val="32"/>
          <w:szCs w:val="32"/>
          <w:shd w:val="clear" w:color="auto" w:fill="FFFFFF"/>
        </w:rPr>
        <w:t>手作、私人订制等个性化的</w:t>
      </w:r>
      <w:r>
        <w:rPr>
          <w:rFonts w:hint="eastAsia" w:ascii="仿宋_GB2312"/>
          <w:sz w:val="32"/>
          <w:szCs w:val="32"/>
          <w:shd w:val="clear" w:color="auto" w:fill="FFFFFF"/>
        </w:rPr>
        <w:t>烘焙</w:t>
      </w:r>
      <w:r>
        <w:rPr>
          <w:rFonts w:ascii="仿宋_GB2312"/>
          <w:sz w:val="32"/>
          <w:szCs w:val="32"/>
          <w:shd w:val="clear" w:color="auto" w:fill="FFFFFF"/>
        </w:rPr>
        <w:t>产品</w:t>
      </w:r>
      <w:r>
        <w:rPr>
          <w:rFonts w:hint="eastAsia" w:ascii="仿宋_GB2312"/>
          <w:sz w:val="32"/>
          <w:szCs w:val="32"/>
          <w:shd w:val="clear" w:color="auto" w:fill="FFFFFF"/>
        </w:rPr>
        <w:t>，凝聚国际化教学标准、专业的硬件设备开展系统烘焙培训服务。发挥地理资源优势，发展进口红酒产业。拓展包装应用新领域，如食品用无菌包装、液体饮料无菌包装、医药铝塑包装、医疗器具抗菌包装等。依托侨乡农品城、进口商品城，加快油竹食品加工园、腊口食药机械加工园等园区建设。</w:t>
      </w:r>
    </w:p>
    <w:p>
      <w:pPr>
        <w:spacing w:line="560" w:lineRule="exact"/>
        <w:ind w:firstLine="643"/>
        <w:rPr>
          <w:rFonts w:ascii="仿宋_GB2312"/>
          <w:sz w:val="32"/>
          <w:szCs w:val="32"/>
          <w:shd w:val="clear" w:color="auto" w:fill="FFFFFF"/>
        </w:rPr>
      </w:pPr>
      <w:r>
        <w:rPr>
          <w:rFonts w:hint="eastAsia" w:ascii="仿宋_GB2312"/>
          <w:b/>
          <w:bCs/>
          <w:sz w:val="32"/>
          <w:szCs w:val="32"/>
          <w:shd w:val="clear" w:color="auto" w:fill="FFFFFF"/>
        </w:rPr>
        <w:t>时尚家具。</w:t>
      </w:r>
      <w:r>
        <w:rPr>
          <w:rFonts w:hint="eastAsia" w:ascii="仿宋_GB2312"/>
          <w:sz w:val="32"/>
          <w:szCs w:val="32"/>
          <w:shd w:val="clear" w:color="auto" w:fill="FFFFFF"/>
        </w:rPr>
        <w:t>拓展健康休闲产业边界，打通产业间的通道，加快小河坑休闲椅文创园、汇集加快休闲、家具制造、食品机械等相关企业，加快培育一批亿元级健康休闲企业，形成“居家+休闲”产业链。到202</w:t>
      </w:r>
      <w:r>
        <w:rPr>
          <w:rFonts w:ascii="仿宋_GB2312"/>
          <w:sz w:val="32"/>
          <w:szCs w:val="32"/>
          <w:shd w:val="clear" w:color="auto" w:fill="FFFFFF"/>
        </w:rPr>
        <w:t>5</w:t>
      </w:r>
      <w:r>
        <w:rPr>
          <w:rFonts w:hint="eastAsia" w:ascii="仿宋_GB2312"/>
          <w:sz w:val="32"/>
          <w:szCs w:val="32"/>
          <w:shd w:val="clear" w:color="auto" w:fill="FFFFFF"/>
        </w:rPr>
        <w:t>年，全产业链预计将实现产值超200亿元。</w:t>
      </w:r>
    </w:p>
    <w:p>
      <w:pPr>
        <w:shd w:val="clear" w:color="auto" w:fill="FFFFFF"/>
        <w:spacing w:after="15" w:line="560" w:lineRule="exact"/>
        <w:ind w:firstLine="643"/>
        <w:rPr>
          <w:rFonts w:ascii="仿宋_GB2312"/>
          <w:sz w:val="32"/>
          <w:szCs w:val="32"/>
          <w:shd w:val="clear" w:color="auto" w:fill="FFFFFF"/>
        </w:rPr>
      </w:pPr>
      <w:r>
        <w:rPr>
          <w:rFonts w:hint="eastAsia" w:ascii="仿宋_GB2312"/>
          <w:b/>
          <w:bCs/>
          <w:sz w:val="32"/>
          <w:szCs w:val="32"/>
          <w:shd w:val="clear" w:color="auto" w:fill="FFFFFF"/>
        </w:rPr>
        <w:t>时尚家电。</w:t>
      </w:r>
      <w:r>
        <w:rPr>
          <w:rFonts w:hint="eastAsia" w:ascii="仿宋_GB2312"/>
          <w:sz w:val="32"/>
          <w:szCs w:val="32"/>
          <w:shd w:val="clear" w:color="auto" w:fill="FFFFFF"/>
        </w:rPr>
        <w:t>打造集研发，生产，销售及服务为一体的中国专业的高品质咖啡机制造</w:t>
      </w:r>
      <w:r>
        <w:rPr>
          <w:rFonts w:hint="eastAsia" w:ascii="仿宋_GB2312"/>
          <w:sz w:val="32"/>
          <w:szCs w:val="32"/>
          <w:shd w:val="clear" w:color="auto" w:fill="FFFFFF"/>
          <w:lang w:val="en-US" w:eastAsia="zh-CN"/>
        </w:rPr>
        <w:t>基地</w:t>
      </w:r>
      <w:r>
        <w:rPr>
          <w:rFonts w:hint="eastAsia" w:ascii="仿宋_GB2312"/>
          <w:sz w:val="32"/>
          <w:szCs w:val="32"/>
          <w:shd w:val="clear" w:color="auto" w:fill="FFFFFF"/>
        </w:rPr>
        <w:t>。丰富咖啡商旅业态，推进咖啡商旅融合景区建设，打造“咖啡之窗”展示馆（会客厅）、咖啡文化体验城区和营造浓厚的咖啡文化氛围等方面内容。结合欧陆风情街区改造，拓展咖啡产业链和塑造城市咖啡文化名片，</w:t>
      </w:r>
      <w:r>
        <w:fldChar w:fldCharType="begin"/>
      </w:r>
      <w:r>
        <w:instrText xml:space="preserve"> HYPERLINK "http://www.baidu.com/baidu.php?url=0f00000uEDLSpLgiC6pQr8vs2dN3PpHI2hmo051kjEKkuXyphlYutUnqbRhrKuWi02eM-DqVGZTooeqTHdKzHT2khjzYR5iJV7wmW-sbAiX-_YnuPgm_NUjuZMeeNmVOUosF3iexNVNtU-99u-iFVom2pSL3NfXLLme63AXO1CKRzj66-6E1IEgB2uT6eOkseadYgxuzQAOZFVWzoSJRvjmyRuRu.DY_ifYgsq_puECH4gn1RcY_1fdXAaBSQV69CE9eXqZDkvTxAzz1I__3SrSEGvIh1oIZzktEUsp_HAeu3vyyyI5ubvUqheugklLwtJXNheDkvTXPX1IEe2ePLyl5-HzLFS9t2ycXVYx2M-eXaeDkgEvIh1IgvUqS1Id8W4yXyZDk8tUrMIYe8rOoIZz_t_QrFB8EW_zUJlSMkLIUCSNM-udmh2ePhHxYtU5ZI_olLwto5QwknIEKIMLqPXiz1GtXMFE3qUCSgKPw4xCmzIUCSy4nIj-sHRy2J7jZZOlsfTZKsXRimtTzm3Lc6qnDnRZjNKlIpm3L8BuC43gwRAmpAaPi_nYQ7XSExYJ0.U1Yz0ZDqElXLzQEld_URe0KspynqnfKY5USMVtBeS_MC_U60pyYqnWcd0ATqUvNsT1D0Iybqmh7GuZR0TA-b5Hnz0APGujYzrj00UgfqnH0kPdtknjD4g1nznW9xn1msnfKopHYs0ZFY5HbYPsKBpHYkPHNxnHR3g1csP7tznHIxPH010AdW5HD3PWnkPHbYPjNxnH0snNtknjFxn0KkTA-b5H00TyPGujYs0ZFMIA7M5H00mycqn7ts0ANzu1Ys0ZKs5HcYrHR4rjRdnWc0UMus5H08nj0snj0snj00Ugws5H00uAwETjYs0ZFJ5H00uANv5gKW0AuY5H00TA6qn0KET1Ys0AFL5HDs0A4Y5H00TLCq0A71gv-bm1dsTzd-mvC0pywW5R42i-n0IA7zuvNY5Hnkg1nkn-t40ZwdT1Y4PHR1nH01PHckrjRzPWb3n1n10ZF-TgfqnHmknWDvPj01n1TdP6K1pyfquW79rH6dmHbsnjI-PynsmfKWTvYqwjnLPWm4PYDzPYFKrjczr0K9m1Yk0ZK85H00TydY5H00Tyd15H00XMfqn0KVmdqhThqV5HKxn7tsg100uA78IyF-gLK_my4GuZnqn7tsg1f4njRLnHwxn0Ksmgwxuhk9u1Ys0AwWpyfqn0K-IA-b5iYk0A71TAPW5H00IgKGUhPW5H00Tydh5H00uhPdIjYs0A-1mvsqn0KlTAkdT1Ys0A7buhk9u1Yk0Akhm1Ys0AwWmvfq0Zwzmyw-5H00mhwGujYkrjKawRmvnHmsfYNAwH7AwDcsnH9APHbsnH61fRcvn6KBIjYs0Aq9IZTqn0KEIjYs0AqzTZfqnanscznsc10WnansQW0snj0snanscznsczYWna3snj0snj0Wni3snj0snj00TNqv5H08PW7xna3sn7tsQW0sg108nHKxna3sr7tsQWcd0AF1gLKzUvwGujYs0A-1gvPsmHYs0APs5H00mLFW5Hf1n1D1&amp;word=&amp;ck=3141.13.13.246.192.316.185.1839&amp;shh=www.baidu.com&amp;sht=baidu&amp;wd=&amp;us=1.0.1.0.3.1759.0" \t "https://www.baidu.com/_blank" </w:instrText>
      </w:r>
      <w:r>
        <w:fldChar w:fldCharType="separate"/>
      </w:r>
      <w:r>
        <w:rPr>
          <w:rFonts w:hint="eastAsia" w:ascii="仿宋_GB2312"/>
          <w:sz w:val="32"/>
          <w:szCs w:val="32"/>
        </w:rPr>
        <w:t>针对不同场所提供个性化咖啡解决方案</w:t>
      </w:r>
      <w:r>
        <w:rPr>
          <w:rFonts w:hint="eastAsia" w:ascii="仿宋_GB2312"/>
          <w:sz w:val="32"/>
          <w:szCs w:val="32"/>
        </w:rPr>
        <w:fldChar w:fldCharType="end"/>
      </w:r>
      <w:r>
        <w:rPr>
          <w:rFonts w:hint="eastAsia" w:ascii="仿宋_GB2312"/>
          <w:sz w:val="32"/>
          <w:szCs w:val="32"/>
          <w:shd w:val="clear" w:color="auto" w:fill="FFFFFF"/>
        </w:rPr>
        <w:t>。</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打造鞋服、箱包等自主时尚品牌+营销网点+网络营销新模式。</w:t>
      </w:r>
      <w:r>
        <w:rPr>
          <w:rFonts w:hint="eastAsia" w:ascii="仿宋_GB2312"/>
          <w:color w:val="000000"/>
          <w:sz w:val="32"/>
          <w:szCs w:val="32"/>
        </w:rPr>
        <w:t>深耕基于脚型大数据的批量定制，探索基于个性化定制的柔性供应链系统，提升个性化定制和智能化生产水平，打造鞋服、箱包等自主时尚品牌；革新营销模式，在鞋服、箱包等产业中打响网红直播经济品牌。</w:t>
      </w:r>
    </w:p>
    <w:p>
      <w:pPr>
        <w:spacing w:line="560" w:lineRule="exact"/>
        <w:ind w:firstLine="643"/>
        <w:rPr>
          <w:rFonts w:ascii="仿宋_GB2312"/>
          <w:color w:val="000000"/>
          <w:sz w:val="32"/>
          <w:szCs w:val="32"/>
        </w:rPr>
      </w:pPr>
      <w:r>
        <w:rPr>
          <w:rFonts w:hint="eastAsia" w:ascii="仿宋_GB2312"/>
          <w:b/>
          <w:bCs/>
          <w:color w:val="000000"/>
          <w:sz w:val="32"/>
          <w:szCs w:val="32"/>
        </w:rPr>
        <w:t>推进智能化家居产品升级。</w:t>
      </w:r>
      <w:r>
        <w:rPr>
          <w:rFonts w:hint="eastAsia" w:ascii="仿宋_GB2312"/>
          <w:color w:val="000000"/>
          <w:sz w:val="32"/>
          <w:szCs w:val="32"/>
        </w:rPr>
        <w:t>加强互联网技术、新一代移动通信技术及传感器技术等高新技术在家具用品业的应用，推动家居产品向一体化解决方案转变。</w:t>
      </w:r>
    </w:p>
    <w:p>
      <w:pPr>
        <w:spacing w:line="560" w:lineRule="exact"/>
        <w:ind w:firstLine="643"/>
        <w:rPr>
          <w:rFonts w:ascii="仿宋_GB2312"/>
          <w:color w:val="000000"/>
          <w:sz w:val="32"/>
          <w:szCs w:val="32"/>
        </w:rPr>
      </w:pPr>
      <w:r>
        <w:rPr>
          <w:rFonts w:hint="eastAsia" w:ascii="仿宋_GB2312"/>
          <w:b/>
          <w:bCs/>
          <w:color w:val="000000"/>
          <w:sz w:val="32"/>
          <w:szCs w:val="32"/>
        </w:rPr>
        <w:t>加快推动青田石雕从工艺品向工业品拓展，</w:t>
      </w:r>
      <w:r>
        <w:rPr>
          <w:rFonts w:hint="eastAsia" w:ascii="仿宋_GB2312"/>
          <w:color w:val="000000"/>
          <w:sz w:val="32"/>
          <w:szCs w:val="32"/>
        </w:rPr>
        <w:t>让</w:t>
      </w:r>
      <w:r>
        <w:rPr>
          <w:rFonts w:ascii="仿宋_GB2312"/>
          <w:color w:val="000000"/>
          <w:sz w:val="32"/>
          <w:szCs w:val="32"/>
        </w:rPr>
        <w:t>高雅艺术走进寻常百姓家</w:t>
      </w:r>
      <w:r>
        <w:rPr>
          <w:rFonts w:hint="eastAsia" w:ascii="仿宋_GB2312"/>
          <w:color w:val="000000"/>
          <w:sz w:val="32"/>
          <w:szCs w:val="32"/>
        </w:rPr>
        <w:t>，实现平民化。推进全国玉石雕刻生产加工基地建设。打造世界原石交易中心，发挥世界玉石联盟作用，加快青田石雕文旅综合体建设，加强石雕云信息化平台建设，提升青田石雕国石品牌影响力。</w:t>
      </w:r>
    </w:p>
    <w:p>
      <w:pPr>
        <w:spacing w:line="560" w:lineRule="exact"/>
        <w:ind w:firstLine="643"/>
        <w:rPr>
          <w:rFonts w:ascii="仿宋_GB2312"/>
          <w:color w:val="000000"/>
          <w:sz w:val="32"/>
          <w:szCs w:val="32"/>
        </w:rPr>
      </w:pPr>
      <w:r>
        <w:rPr>
          <w:rFonts w:hint="eastAsia" w:ascii="仿宋_GB2312"/>
          <w:b/>
          <w:bCs/>
          <w:color w:val="000000"/>
          <w:sz w:val="32"/>
          <w:szCs w:val="32"/>
        </w:rPr>
        <w:t>积极进军高端包装市场，推广新材料应用。</w:t>
      </w:r>
      <w:r>
        <w:rPr>
          <w:rFonts w:hint="eastAsia" w:ascii="仿宋_GB2312"/>
          <w:color w:val="000000"/>
          <w:sz w:val="32"/>
          <w:szCs w:val="32"/>
        </w:rPr>
        <w:t>拓展包装应用新领域，如食品用无菌包装、液体饮料无菌包装、医药铝塑包装、医疗器具抗菌包装等。</w:t>
      </w:r>
    </w:p>
    <w:p>
      <w:pPr>
        <w:spacing w:line="560" w:lineRule="exact"/>
        <w:ind w:firstLine="643"/>
        <w:rPr>
          <w:rFonts w:ascii="仿宋_GB2312"/>
          <w:color w:val="000000"/>
          <w:sz w:val="32"/>
          <w:szCs w:val="32"/>
        </w:rPr>
      </w:pPr>
      <w:r>
        <w:rPr>
          <w:rFonts w:hint="eastAsia" w:ascii="仿宋_GB2312"/>
          <w:b/>
          <w:bCs/>
          <w:color w:val="000000"/>
          <w:sz w:val="32"/>
          <w:szCs w:val="32"/>
        </w:rPr>
        <w:t>加快健康休闲园区建设，打造“居家+休闲”产业链。</w:t>
      </w:r>
      <w:r>
        <w:rPr>
          <w:rFonts w:hint="eastAsia" w:ascii="仿宋_GB2312"/>
          <w:color w:val="000000"/>
          <w:sz w:val="32"/>
          <w:szCs w:val="32"/>
        </w:rPr>
        <w:t>依托侨乡农品城、进口商品城，加快油竹食品加工园、腊口食药机械加工园等园区建设；加快小河坑休闲椅文创园建设，提升休闲椅、家具业发展品质，推动产品向居家、户外、医养等系列延伸；延伸按摩椅、游乐产业链，实现从单打冠军向产业领军发展，打造形成完整的健康产业体系。</w:t>
      </w:r>
    </w:p>
    <w:p>
      <w:pPr>
        <w:spacing w:line="560" w:lineRule="exact"/>
        <w:ind w:firstLine="643"/>
        <w:rPr>
          <w:rFonts w:ascii="仿宋_GB2312"/>
          <w:color w:val="000000"/>
          <w:sz w:val="32"/>
          <w:szCs w:val="32"/>
        </w:rPr>
      </w:pPr>
      <w:r>
        <w:rPr>
          <w:rFonts w:hint="eastAsia" w:ascii="仿宋_GB2312"/>
          <w:b/>
          <w:bCs/>
          <w:color w:val="000000"/>
          <w:sz w:val="32"/>
          <w:szCs w:val="32"/>
        </w:rPr>
        <w:t>积极增强世界红酒中心建设人才软实力，扩大青田红酒品牌影响力。</w:t>
      </w:r>
      <w:r>
        <w:rPr>
          <w:rFonts w:hint="eastAsia" w:ascii="仿宋_GB2312"/>
          <w:color w:val="000000"/>
          <w:sz w:val="32"/>
          <w:szCs w:val="32"/>
        </w:rPr>
        <w:t>打造青田世界红酒中心、青田咖啡小镇等十大平台。举办青田红酒营销人才培训班，是我们围绕试验区建设总体目标。</w:t>
      </w:r>
    </w:p>
    <w:p>
      <w:pPr>
        <w:ind w:firstLine="0" w:firstLineChars="0"/>
        <w:jc w:val="center"/>
        <w:rPr>
          <w:rFonts w:ascii="仿宋_GB2312"/>
          <w:sz w:val="32"/>
          <w:szCs w:val="32"/>
        </w:rPr>
      </w:pPr>
      <w:r>
        <w:rPr>
          <w:rFonts w:ascii="仿宋_GB2312"/>
          <w:color w:val="000000"/>
          <w:sz w:val="32"/>
          <w:szCs w:val="32"/>
        </w:rPr>
        <w:drawing>
          <wp:inline distT="0" distB="0" distL="0" distR="0">
            <wp:extent cx="5784215" cy="2750820"/>
            <wp:effectExtent l="0" t="0" r="698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96339" cy="2756459"/>
                    </a:xfrm>
                    <a:prstGeom prst="rect">
                      <a:avLst/>
                    </a:prstGeom>
                    <a:noFill/>
                    <a:ln>
                      <a:noFill/>
                    </a:ln>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3 </w:t>
      </w:r>
      <w:r>
        <w:rPr>
          <w:rFonts w:hint="eastAsia" w:eastAsia="黑体"/>
          <w:sz w:val="24"/>
          <w:szCs w:val="22"/>
          <w:shd w:val="clear" w:color="auto" w:fill="FFFFFF"/>
        </w:rPr>
        <w:t>时尚（鞋服）产业升级路线图</w:t>
      </w:r>
    </w:p>
    <w:p>
      <w:pPr>
        <w:pStyle w:val="4"/>
        <w:spacing w:line="560" w:lineRule="exact"/>
        <w:ind w:firstLine="602"/>
        <w:contextualSpacing/>
        <w:rPr>
          <w:rFonts w:ascii="楷体_GB2312" w:eastAsia="楷体_GB2312"/>
          <w:color w:val="000000"/>
        </w:rPr>
      </w:pPr>
      <w:bookmarkStart w:id="19" w:name="_Toc21421"/>
      <w:r>
        <w:rPr>
          <w:rFonts w:hint="eastAsia" w:ascii="楷体_GB2312" w:eastAsia="楷体_GB2312"/>
          <w:color w:val="000000"/>
        </w:rPr>
        <w:t>（二）智控阀门（高端装备）产业</w:t>
      </w:r>
      <w:bookmarkEnd w:id="19"/>
    </w:p>
    <w:bookmarkEnd w:id="18"/>
    <w:p>
      <w:pPr>
        <w:tabs>
          <w:tab w:val="left" w:pos="3405"/>
        </w:tabs>
        <w:spacing w:line="560" w:lineRule="exact"/>
        <w:ind w:firstLine="643"/>
        <w:contextualSpacing/>
        <w:outlineLvl w:val="2"/>
        <w:rPr>
          <w:rFonts w:ascii="仿宋_GB2312"/>
          <w:b/>
          <w:sz w:val="32"/>
          <w:szCs w:val="32"/>
          <w:shd w:val="clear" w:color="auto" w:fill="FFFFFF"/>
        </w:rPr>
      </w:pPr>
      <w:r>
        <w:rPr>
          <w:rFonts w:ascii="仿宋_GB2312"/>
          <w:b/>
          <w:sz w:val="32"/>
          <w:szCs w:val="32"/>
          <w:shd w:val="clear" w:color="auto" w:fill="FFFFFF"/>
        </w:rPr>
        <w:t>1</w:t>
      </w:r>
      <w:r>
        <w:rPr>
          <w:rFonts w:hint="eastAsia" w:ascii="仿宋_GB2312"/>
          <w:b/>
          <w:sz w:val="32"/>
          <w:szCs w:val="32"/>
          <w:shd w:val="clear" w:color="auto" w:fill="FFFFFF"/>
        </w:rPr>
        <w:t>、目标定位</w:t>
      </w:r>
    </w:p>
    <w:p>
      <w:pPr>
        <w:spacing w:line="560" w:lineRule="exact"/>
        <w:ind w:firstLine="640"/>
        <w:rPr>
          <w:rFonts w:ascii="仿宋_GB2312"/>
          <w:color w:val="000000"/>
          <w:sz w:val="32"/>
          <w:szCs w:val="32"/>
        </w:rPr>
      </w:pPr>
      <w:r>
        <w:rPr>
          <w:rFonts w:hint="eastAsia" w:ascii="仿宋_GB2312"/>
          <w:color w:val="000000"/>
          <w:sz w:val="32"/>
          <w:szCs w:val="32"/>
        </w:rPr>
        <w:t>带动实施青田阀门百亿产业振兴行动，发挥核电阀门产业联盟、博士后工作站等产业链引领作用，突破产业关键共性技术，提升产业综合实力，力争到2</w:t>
      </w:r>
      <w:r>
        <w:rPr>
          <w:rFonts w:ascii="仿宋_GB2312"/>
          <w:color w:val="000000"/>
          <w:sz w:val="32"/>
          <w:szCs w:val="32"/>
        </w:rPr>
        <w:t>025</w:t>
      </w:r>
      <w:r>
        <w:rPr>
          <w:rFonts w:hint="eastAsia" w:ascii="仿宋_GB2312"/>
          <w:color w:val="000000"/>
          <w:sz w:val="32"/>
          <w:szCs w:val="32"/>
        </w:rPr>
        <w:t>年，实现</w:t>
      </w:r>
      <w:r>
        <w:rPr>
          <w:rFonts w:hint="eastAsia" w:ascii="仿宋_GB2312"/>
          <w:b/>
          <w:bCs/>
          <w:color w:val="000000"/>
          <w:sz w:val="32"/>
          <w:szCs w:val="32"/>
        </w:rPr>
        <w:t>“百家企业百亿产值”</w:t>
      </w:r>
      <w:r>
        <w:rPr>
          <w:rFonts w:hint="eastAsia" w:ascii="仿宋_GB2312"/>
          <w:color w:val="000000"/>
          <w:sz w:val="32"/>
          <w:szCs w:val="32"/>
        </w:rPr>
        <w:t>目标，打造形成以国际智能电器产业园、中部阀门产业园等为核心的</w:t>
      </w:r>
      <w:r>
        <w:rPr>
          <w:rFonts w:hint="eastAsia" w:ascii="仿宋_GB2312"/>
          <w:b/>
          <w:bCs/>
          <w:color w:val="000000"/>
          <w:sz w:val="32"/>
          <w:szCs w:val="32"/>
        </w:rPr>
        <w:t>特色高端装备产业基地</w:t>
      </w:r>
      <w:r>
        <w:rPr>
          <w:rFonts w:hint="eastAsia" w:ascii="仿宋_GB2312"/>
          <w:color w:val="000000"/>
          <w:sz w:val="32"/>
          <w:szCs w:val="32"/>
        </w:rPr>
        <w:t>。</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重点发展超（超）临界火电、煤化工、长输管线、石油化工、LNG等领域的阀门装备。</w:t>
      </w:r>
      <w:r>
        <w:rPr>
          <w:rFonts w:hint="eastAsia" w:ascii="仿宋_GB2312"/>
          <w:color w:val="000000"/>
          <w:sz w:val="32"/>
          <w:szCs w:val="32"/>
        </w:rPr>
        <w:t>单一产品向可靠、可控、感知、高参数方向发展，成套产品由局部小成套向智能化大成套方向发展。</w:t>
      </w:r>
    </w:p>
    <w:p>
      <w:pPr>
        <w:spacing w:line="560" w:lineRule="exact"/>
        <w:ind w:firstLine="643"/>
        <w:rPr>
          <w:rFonts w:ascii="仿宋_GB2312"/>
          <w:color w:val="000000"/>
          <w:sz w:val="32"/>
          <w:szCs w:val="32"/>
        </w:rPr>
      </w:pPr>
      <w:r>
        <w:rPr>
          <w:rFonts w:hint="eastAsia" w:ascii="仿宋_GB2312"/>
          <w:b/>
          <w:bCs/>
          <w:color w:val="000000"/>
          <w:sz w:val="32"/>
          <w:szCs w:val="32"/>
        </w:rPr>
        <w:t>重点发展军工核电阀门铸件。</w:t>
      </w:r>
      <w:r>
        <w:rPr>
          <w:rFonts w:hint="eastAsia" w:ascii="仿宋_GB2312"/>
          <w:color w:val="000000"/>
          <w:sz w:val="32"/>
          <w:szCs w:val="32"/>
        </w:rPr>
        <w:t>发展基于能源、石化、核电等领域的耐高温、耐高压、耐腐蚀等进口替代阀门铸件；高温合金铸件等。</w:t>
      </w:r>
    </w:p>
    <w:p>
      <w:pPr>
        <w:spacing w:line="560" w:lineRule="exact"/>
        <w:ind w:firstLine="643"/>
        <w:rPr>
          <w:rFonts w:ascii="仿宋_GB2312"/>
          <w:color w:val="000000"/>
          <w:sz w:val="32"/>
          <w:szCs w:val="32"/>
        </w:rPr>
      </w:pPr>
      <w:r>
        <w:rPr>
          <w:rFonts w:hint="eastAsia" w:ascii="仿宋_GB2312"/>
          <w:b/>
          <w:bCs/>
          <w:color w:val="000000"/>
          <w:sz w:val="32"/>
          <w:szCs w:val="32"/>
        </w:rPr>
        <w:t>重点发展阀门和旋塞、轴承、紧固件、模具等关键基础件，</w:t>
      </w:r>
      <w:r>
        <w:rPr>
          <w:rFonts w:hint="eastAsia" w:ascii="仿宋_GB2312"/>
          <w:color w:val="000000"/>
          <w:sz w:val="32"/>
          <w:szCs w:val="32"/>
        </w:rPr>
        <w:t>汽车空调等节能与新能源汽车重点领域；做大智能电网、风力发电等光伏及新能源装备；培育发展高效节能环保装备、机床及其关键功能部件等高档数控机床、制冷空调设备等特色智能装备、高性能工业自动化控制系统等机器人与智能制造装备。</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建设精密阀门（高端装备）生产基地。</w:t>
      </w:r>
      <w:r>
        <w:rPr>
          <w:rFonts w:hint="eastAsia" w:ascii="仿宋_GB2312"/>
          <w:color w:val="000000"/>
          <w:sz w:val="32"/>
          <w:szCs w:val="32"/>
        </w:rPr>
        <w:t>提升原有精密阀门企业，加快招引一批产业链关键环节重点项目，集聚精密阀门（高端装备）企业超100家，形成集设计、研发、制造、服务于一体的精密阀门（高端装备）产业集群，积极打造精密阀门（高端装备）生产基地。</w:t>
      </w:r>
    </w:p>
    <w:p>
      <w:pPr>
        <w:spacing w:line="560" w:lineRule="exact"/>
        <w:ind w:firstLine="643"/>
        <w:rPr>
          <w:rFonts w:ascii="仿宋_GB2312"/>
          <w:color w:val="000000"/>
          <w:sz w:val="32"/>
          <w:szCs w:val="32"/>
        </w:rPr>
      </w:pPr>
      <w:r>
        <w:rPr>
          <w:rFonts w:hint="eastAsia" w:ascii="仿宋_GB2312"/>
          <w:b/>
          <w:bCs/>
          <w:color w:val="000000"/>
          <w:sz w:val="32"/>
          <w:szCs w:val="32"/>
        </w:rPr>
        <w:t>提高龙头企业项目系统集成力，</w:t>
      </w:r>
      <w:r>
        <w:rPr>
          <w:rFonts w:hint="eastAsia" w:ascii="仿宋_GB2312"/>
          <w:color w:val="000000"/>
          <w:sz w:val="32"/>
          <w:szCs w:val="32"/>
        </w:rPr>
        <w:t>推广云平台模式，鼓励装备制造业龙头企业探索集工业工程设计、装备制造、运行调试、员工培训、维修检测、配件专供等为一体的新型商业模式。</w:t>
      </w:r>
    </w:p>
    <w:p>
      <w:pPr>
        <w:ind w:firstLine="0" w:firstLineChars="0"/>
        <w:rPr>
          <w:rFonts w:ascii="仿宋_GB2312"/>
          <w:sz w:val="32"/>
          <w:szCs w:val="32"/>
        </w:rPr>
      </w:pPr>
      <w:r>
        <w:rPr>
          <w:rFonts w:ascii="仿宋_GB2312"/>
          <w:b/>
          <w:color w:val="000000"/>
          <w:sz w:val="32"/>
          <w:szCs w:val="32"/>
        </w:rPr>
        <w:drawing>
          <wp:inline distT="0" distB="0" distL="0" distR="0">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5 </w:t>
      </w:r>
      <w:r>
        <w:rPr>
          <w:rFonts w:hint="eastAsia" w:eastAsia="黑体"/>
          <w:sz w:val="24"/>
          <w:szCs w:val="22"/>
          <w:shd w:val="clear" w:color="auto" w:fill="FFFFFF"/>
        </w:rPr>
        <w:t>高端智控阀门产业升级路线图</w:t>
      </w:r>
    </w:p>
    <w:p>
      <w:pPr>
        <w:pStyle w:val="4"/>
        <w:spacing w:line="560" w:lineRule="exact"/>
        <w:ind w:firstLine="602"/>
        <w:contextualSpacing/>
        <w:rPr>
          <w:rFonts w:ascii="楷体_GB2312" w:eastAsia="楷体_GB2312"/>
          <w:color w:val="000000"/>
        </w:rPr>
      </w:pPr>
      <w:bookmarkStart w:id="20" w:name="_Toc22098"/>
      <w:bookmarkStart w:id="21" w:name="_Hlk66980588"/>
      <w:r>
        <w:rPr>
          <w:rFonts w:hint="eastAsia" w:ascii="楷体_GB2312" w:eastAsia="楷体_GB2312"/>
          <w:color w:val="000000"/>
        </w:rPr>
        <w:t>（四）绿色石矿产业</w:t>
      </w:r>
      <w:bookmarkEnd w:id="20"/>
    </w:p>
    <w:bookmarkEnd w:id="21"/>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1、目标定位</w:t>
      </w:r>
    </w:p>
    <w:p>
      <w:pPr>
        <w:spacing w:line="560" w:lineRule="exact"/>
        <w:ind w:firstLine="640"/>
        <w:rPr>
          <w:rFonts w:ascii="仿宋_GB2312"/>
          <w:color w:val="000000"/>
          <w:sz w:val="32"/>
          <w:szCs w:val="32"/>
        </w:rPr>
      </w:pPr>
      <w:r>
        <w:rPr>
          <w:rFonts w:hint="eastAsia" w:ascii="仿宋_GB2312"/>
          <w:color w:val="000000"/>
          <w:sz w:val="32"/>
          <w:szCs w:val="32"/>
        </w:rPr>
        <w:t>充分发挥青田钼、叶腊石、砂石料等矿产资源，丰富产品类型，走精深加工之路；发挥叶腊石、砂石料等资源优势，积极延伸产业链，努力打造</w:t>
      </w:r>
      <w:r>
        <w:rPr>
          <w:rFonts w:hint="eastAsia" w:ascii="仿宋_GB2312"/>
          <w:b/>
          <w:bCs/>
          <w:color w:val="000000"/>
          <w:sz w:val="32"/>
          <w:szCs w:val="32"/>
        </w:rPr>
        <w:t>特色明显的基础材料产业基地</w:t>
      </w:r>
      <w:r>
        <w:rPr>
          <w:rFonts w:hint="eastAsia" w:ascii="仿宋_GB2312"/>
          <w:color w:val="000000"/>
          <w:sz w:val="32"/>
          <w:szCs w:val="32"/>
        </w:rPr>
        <w:t>。</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重点发展钼产品深加工，</w:t>
      </w:r>
      <w:r>
        <w:rPr>
          <w:rFonts w:hint="eastAsia" w:ascii="仿宋_GB2312"/>
          <w:color w:val="000000"/>
          <w:sz w:val="32"/>
          <w:szCs w:val="32"/>
        </w:rPr>
        <w:t>主要是氧化钼、钼铁生产，钼化工产品生产，钼金属制品生产和钼伴生副产品生产。积极拓展青山钢铁的现有产能，加快发展钼金属产品，如钼铁、钼丝等。</w:t>
      </w:r>
    </w:p>
    <w:p>
      <w:pPr>
        <w:spacing w:line="560" w:lineRule="exact"/>
        <w:ind w:firstLine="643"/>
        <w:rPr>
          <w:rFonts w:ascii="仿宋_GB2312"/>
          <w:color w:val="000000"/>
          <w:sz w:val="32"/>
          <w:szCs w:val="32"/>
        </w:rPr>
      </w:pPr>
      <w:r>
        <w:rPr>
          <w:rFonts w:hint="eastAsia" w:ascii="仿宋_GB2312"/>
          <w:b/>
          <w:bCs/>
          <w:color w:val="000000"/>
          <w:sz w:val="32"/>
          <w:szCs w:val="32"/>
        </w:rPr>
        <w:t>发展环境友好型绿色砂石料。</w:t>
      </w:r>
      <w:r>
        <w:rPr>
          <w:rFonts w:hint="eastAsia" w:ascii="仿宋_GB2312"/>
          <w:color w:val="000000"/>
          <w:sz w:val="32"/>
          <w:szCs w:val="32"/>
        </w:rPr>
        <w:t>贯彻《砂石行业绿色矿山建设规范》，面向矿山建设、开采加工、销售运输、使用过程到回收利用的全生命周期过程，制定砂石骨料绿色开发利用方案。研制环境友好型机制砂。</w:t>
      </w:r>
    </w:p>
    <w:p>
      <w:pPr>
        <w:spacing w:line="560" w:lineRule="exact"/>
        <w:ind w:firstLine="643"/>
        <w:rPr>
          <w:rFonts w:ascii="仿宋_GB2312"/>
          <w:color w:val="000000"/>
          <w:sz w:val="32"/>
          <w:szCs w:val="32"/>
        </w:rPr>
      </w:pPr>
      <w:r>
        <w:rPr>
          <w:rFonts w:hint="eastAsia" w:ascii="仿宋_GB2312"/>
          <w:b/>
          <w:bCs/>
          <w:color w:val="000000"/>
          <w:sz w:val="32"/>
          <w:szCs w:val="32"/>
        </w:rPr>
        <w:t>综合利用现有尾矿砂。</w:t>
      </w:r>
      <w:r>
        <w:rPr>
          <w:rFonts w:hint="eastAsia" w:ascii="仿宋_GB2312"/>
          <w:color w:val="000000"/>
          <w:sz w:val="32"/>
          <w:szCs w:val="32"/>
        </w:rPr>
        <w:t>支持开发利用尾矿、回收建筑废料等方面，促进资源综合利用率。支持发展尾矿回选、新型墙体材料制造项目。</w:t>
      </w:r>
    </w:p>
    <w:p>
      <w:pPr>
        <w:spacing w:line="560" w:lineRule="exact"/>
        <w:ind w:firstLine="643"/>
        <w:rPr>
          <w:rFonts w:ascii="仿宋_GB2312"/>
          <w:color w:val="000000"/>
          <w:sz w:val="32"/>
          <w:szCs w:val="32"/>
        </w:rPr>
      </w:pPr>
      <w:r>
        <w:rPr>
          <w:rFonts w:hint="eastAsia" w:ascii="仿宋_GB2312"/>
          <w:b/>
          <w:bCs/>
          <w:color w:val="000000"/>
          <w:sz w:val="32"/>
          <w:szCs w:val="32"/>
        </w:rPr>
        <w:t>发展聚氨酯玻璃纤维复合材料电杆。</w:t>
      </w:r>
      <w:r>
        <w:rPr>
          <w:rFonts w:hint="eastAsia" w:ascii="仿宋_GB2312"/>
          <w:color w:val="000000"/>
          <w:sz w:val="32"/>
          <w:szCs w:val="32"/>
        </w:rPr>
        <w:t>支持开发轻质高强、性价比高、电绝缘性能优良、免维护的聚氨酯玻璃纤维复合材料电杆。</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推动石矿产业延链发展。</w:t>
      </w:r>
      <w:r>
        <w:rPr>
          <w:rFonts w:hint="eastAsia" w:ascii="仿宋_GB2312"/>
          <w:color w:val="000000"/>
          <w:sz w:val="32"/>
          <w:szCs w:val="32"/>
        </w:rPr>
        <w:t>充分发挥青田钼、叶腊石、砂石料等矿产资源，丰富产品类型，走精深加工之路。发挥叶腊石、砂石料等资源优势，积极延伸产业链。</w:t>
      </w:r>
    </w:p>
    <w:p>
      <w:pPr>
        <w:spacing w:line="560" w:lineRule="exact"/>
        <w:ind w:firstLine="643"/>
        <w:rPr>
          <w:rFonts w:ascii="仿宋_GB2312"/>
          <w:color w:val="000000"/>
          <w:sz w:val="32"/>
          <w:szCs w:val="32"/>
        </w:rPr>
      </w:pPr>
      <w:r>
        <w:rPr>
          <w:rFonts w:hint="eastAsia" w:ascii="仿宋_GB2312"/>
          <w:b/>
          <w:bCs/>
          <w:color w:val="000000"/>
          <w:sz w:val="32"/>
          <w:szCs w:val="32"/>
        </w:rPr>
        <w:t>实施石矿产业绿色改造提升，</w:t>
      </w:r>
      <w:r>
        <w:rPr>
          <w:rFonts w:hint="eastAsia" w:ascii="仿宋_GB2312"/>
          <w:color w:val="000000"/>
          <w:sz w:val="32"/>
          <w:szCs w:val="32"/>
        </w:rPr>
        <w:t>推动基础材料提质提标，重视全标准应用，加快绿色新产品研发，拓宽产品应用边界，努力向高精尖领域扩展；发展性能优异的关键基础材料，全面布局引领未来的前沿新材料，加快培育一批亿元级基础材料企业，力争达到省内先进水平，努力打造百亿级绿色新型基础材料产业。</w:t>
      </w:r>
    </w:p>
    <w:p>
      <w:pPr>
        <w:spacing w:line="560" w:lineRule="exact"/>
        <w:ind w:firstLine="643"/>
        <w:rPr>
          <w:rFonts w:ascii="仿宋_GB2312"/>
          <w:color w:val="000000"/>
          <w:sz w:val="32"/>
          <w:szCs w:val="32"/>
        </w:rPr>
      </w:pPr>
      <w:r>
        <w:rPr>
          <w:rFonts w:hint="eastAsia" w:ascii="仿宋_GB2312"/>
          <w:b/>
          <w:bCs/>
          <w:color w:val="000000"/>
          <w:sz w:val="32"/>
          <w:szCs w:val="32"/>
        </w:rPr>
        <w:t>加大战略合作共赢力度。</w:t>
      </w:r>
      <w:r>
        <w:rPr>
          <w:rFonts w:hint="eastAsia" w:ascii="仿宋_GB2312"/>
          <w:color w:val="000000"/>
          <w:sz w:val="32"/>
          <w:szCs w:val="32"/>
        </w:rPr>
        <w:t>钼矿企业治理结构的提升，也必然是规模化、专业化。再结合我国优强钼矿企业少;中小企业多的实际，提出建议，钼矿优强企业与中小企业，应以政府引导、市场主导为机制，加大战略合作共赢力度，形成混合所有制等多元法人治理先进结构(国有资本、集体资本、非公有资本等）交叉持股、相互融合，允许混合所有制经济实体企业员工持股，形成资本所有者和劳动者利益共同体。</w:t>
      </w:r>
    </w:p>
    <w:p>
      <w:pPr>
        <w:ind w:firstLine="0" w:firstLineChars="0"/>
        <w:jc w:val="center"/>
        <w:rPr>
          <w:rFonts w:ascii="仿宋_GB2312"/>
          <w:sz w:val="32"/>
          <w:szCs w:val="32"/>
        </w:rPr>
      </w:pPr>
      <w:r>
        <w:rPr>
          <w:rFonts w:ascii="仿宋_GB2312"/>
          <w:sz w:val="32"/>
          <w:szCs w:val="32"/>
        </w:rPr>
        <w:drawing>
          <wp:inline distT="0" distB="0" distL="0" distR="0">
            <wp:extent cx="5274310" cy="296672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7 </w:t>
      </w:r>
      <w:r>
        <w:rPr>
          <w:rFonts w:hint="eastAsia" w:eastAsia="黑体"/>
          <w:sz w:val="24"/>
          <w:szCs w:val="22"/>
          <w:shd w:val="clear" w:color="auto" w:fill="FFFFFF"/>
        </w:rPr>
        <w:t>绿色石矿产业升级路线图</w:t>
      </w:r>
    </w:p>
    <w:p>
      <w:pPr>
        <w:pStyle w:val="4"/>
        <w:spacing w:line="560" w:lineRule="exact"/>
        <w:ind w:firstLine="602"/>
        <w:contextualSpacing/>
        <w:rPr>
          <w:rFonts w:ascii="楷体_GB2312" w:eastAsia="楷体_GB2312"/>
          <w:color w:val="000000"/>
        </w:rPr>
      </w:pPr>
      <w:bookmarkStart w:id="22" w:name="_Toc11362"/>
      <w:bookmarkStart w:id="23" w:name="_Hlk66980634"/>
      <w:r>
        <w:rPr>
          <w:rFonts w:hint="eastAsia" w:ascii="楷体_GB2312" w:eastAsia="楷体_GB2312"/>
          <w:color w:val="000000"/>
        </w:rPr>
        <w:t>（五）新兴产业（绿色新能源）</w:t>
      </w:r>
      <w:bookmarkEnd w:id="22"/>
    </w:p>
    <w:bookmarkEnd w:id="23"/>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1、目标定位</w:t>
      </w:r>
    </w:p>
    <w:p>
      <w:pPr>
        <w:spacing w:line="560" w:lineRule="exact"/>
        <w:ind w:firstLine="640"/>
        <w:rPr>
          <w:rFonts w:ascii="仿宋_GB2312"/>
          <w:color w:val="000000"/>
          <w:sz w:val="32"/>
          <w:szCs w:val="32"/>
        </w:rPr>
      </w:pPr>
      <w:r>
        <w:rPr>
          <w:rFonts w:hint="eastAsia" w:ascii="仿宋_GB2312"/>
          <w:color w:val="000000"/>
          <w:sz w:val="32"/>
          <w:szCs w:val="32"/>
          <w:lang w:val="en-US" w:eastAsia="zh-CN"/>
        </w:rPr>
        <w:t>以</w:t>
      </w:r>
      <w:r>
        <w:rPr>
          <w:rFonts w:hint="eastAsia" w:ascii="仿宋_GB2312"/>
          <w:color w:val="000000"/>
          <w:sz w:val="32"/>
          <w:szCs w:val="32"/>
        </w:rPr>
        <w:t>绿色新能源、机车制造</w:t>
      </w:r>
      <w:r>
        <w:rPr>
          <w:rFonts w:hint="eastAsia" w:ascii="仿宋_GB2312"/>
          <w:color w:val="000000"/>
          <w:sz w:val="32"/>
          <w:szCs w:val="32"/>
          <w:lang w:eastAsia="zh-CN"/>
        </w:rPr>
        <w:t>、“</w:t>
      </w:r>
      <w:r>
        <w:rPr>
          <w:rFonts w:hint="eastAsia" w:ascii="仿宋_GB2312"/>
          <w:color w:val="000000"/>
          <w:sz w:val="32"/>
          <w:szCs w:val="32"/>
          <w:lang w:val="en-US" w:eastAsia="zh-CN"/>
        </w:rPr>
        <w:t>水经济</w:t>
      </w:r>
      <w:r>
        <w:rPr>
          <w:rFonts w:hint="eastAsia" w:ascii="仿宋_GB2312"/>
          <w:color w:val="000000"/>
          <w:sz w:val="32"/>
          <w:szCs w:val="32"/>
          <w:lang w:eastAsia="zh-CN"/>
        </w:rPr>
        <w:t>”</w:t>
      </w:r>
      <w:r>
        <w:rPr>
          <w:rFonts w:hint="eastAsia" w:ascii="仿宋_GB2312"/>
          <w:color w:val="000000"/>
          <w:sz w:val="32"/>
          <w:szCs w:val="32"/>
        </w:rPr>
        <w:t>等</w:t>
      </w:r>
      <w:r>
        <w:rPr>
          <w:rFonts w:hint="eastAsia" w:ascii="仿宋_GB2312"/>
          <w:color w:val="000000"/>
          <w:sz w:val="32"/>
          <w:szCs w:val="32"/>
          <w:lang w:val="en-US" w:eastAsia="zh-CN"/>
        </w:rPr>
        <w:t>为重点</w:t>
      </w:r>
      <w:r>
        <w:rPr>
          <w:rFonts w:hint="eastAsia" w:ascii="仿宋_GB2312"/>
          <w:color w:val="000000"/>
          <w:sz w:val="32"/>
          <w:szCs w:val="32"/>
        </w:rPr>
        <w:t>，突破新兴产业等发展瓶颈。。</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新能源产业</w:t>
      </w:r>
      <w:r>
        <w:rPr>
          <w:rFonts w:hint="eastAsia" w:ascii="仿宋_GB2312"/>
          <w:color w:val="000000"/>
          <w:sz w:val="32"/>
          <w:szCs w:val="32"/>
        </w:rPr>
        <w:t>。充分发挥青田水力资源优势，合理开发，持续推进小水电绿色改造工程，完成青田水利枢纽等项目主体建设规划，调研安吉、奉化、建德等省内已建在建抽水蓄能电站建设经验，科学布局一批抽水蓄能电站，计划投资</w:t>
      </w:r>
      <w:r>
        <w:rPr>
          <w:rFonts w:ascii="仿宋_GB2312"/>
          <w:color w:val="000000"/>
          <w:sz w:val="32"/>
          <w:szCs w:val="32"/>
        </w:rPr>
        <w:t>75</w:t>
      </w:r>
      <w:r>
        <w:rPr>
          <w:rFonts w:hint="eastAsia" w:ascii="仿宋_GB2312"/>
          <w:color w:val="000000"/>
          <w:sz w:val="32"/>
          <w:szCs w:val="32"/>
        </w:rPr>
        <w:t>亿元投资壮大绿色水电产业；发挥产业链上下游优势，利用不锈钢产业的先发优势，重点引进与之相关的太阳能等新光伏能源产业，新厂房全部实现屋顶光伏，破解高端不锈钢、精密阀门产业发展的能源等要素难题。</w:t>
      </w:r>
    </w:p>
    <w:p>
      <w:pPr>
        <w:spacing w:line="560" w:lineRule="exact"/>
        <w:ind w:firstLine="643"/>
        <w:rPr>
          <w:rFonts w:hint="eastAsia" w:ascii="仿宋_GB2312"/>
          <w:color w:val="000000"/>
          <w:sz w:val="32"/>
          <w:szCs w:val="32"/>
        </w:rPr>
      </w:pPr>
      <w:r>
        <w:rPr>
          <w:rFonts w:hint="eastAsia" w:ascii="仿宋_GB2312"/>
          <w:b/>
          <w:bCs/>
          <w:color w:val="000000"/>
          <w:sz w:val="32"/>
          <w:szCs w:val="32"/>
        </w:rPr>
        <w:t>机车制造。</w:t>
      </w:r>
      <w:r>
        <w:rPr>
          <w:rFonts w:hint="eastAsia" w:ascii="仿宋_GB2312"/>
          <w:color w:val="000000"/>
          <w:sz w:val="32"/>
          <w:szCs w:val="32"/>
        </w:rPr>
        <w:t>发挥青田腊口镇电气化乡镇建设优势，引进爱玛锂电、电动两轮车研发项目，促进青田数据及智能制造中心建设，构建绿色节能数据中心。</w:t>
      </w:r>
    </w:p>
    <w:p>
      <w:pPr>
        <w:spacing w:line="560" w:lineRule="exact"/>
        <w:ind w:firstLine="643"/>
        <w:rPr>
          <w:rFonts w:ascii="仿宋_GB2312"/>
          <w:color w:val="000000"/>
          <w:sz w:val="32"/>
          <w:szCs w:val="32"/>
        </w:rPr>
      </w:pPr>
      <w:r>
        <w:rPr>
          <w:rFonts w:hint="eastAsia" w:ascii="仿宋_GB2312"/>
          <w:b/>
          <w:bCs/>
          <w:color w:val="000000"/>
          <w:sz w:val="32"/>
          <w:szCs w:val="32"/>
        </w:rPr>
        <w:t>“水经济”产业</w:t>
      </w:r>
      <w:r>
        <w:rPr>
          <w:rFonts w:hint="eastAsia" w:ascii="仿宋_GB2312"/>
          <w:b/>
          <w:bCs/>
          <w:color w:val="000000"/>
          <w:sz w:val="32"/>
          <w:szCs w:val="32"/>
          <w:lang w:eastAsia="zh-CN"/>
        </w:rPr>
        <w:t>。</w:t>
      </w:r>
      <w:r>
        <w:rPr>
          <w:rFonts w:hint="eastAsia" w:ascii="仿宋_GB2312"/>
          <w:color w:val="000000"/>
          <w:sz w:val="32"/>
          <w:szCs w:val="32"/>
          <w:lang w:val="en-US" w:eastAsia="zh-CN"/>
        </w:rPr>
        <w:t>发展</w:t>
      </w:r>
      <w:r>
        <w:rPr>
          <w:rFonts w:hint="eastAsia" w:ascii="仿宋_GB2312"/>
          <w:color w:val="000000"/>
          <w:sz w:val="32"/>
          <w:szCs w:val="32"/>
        </w:rPr>
        <w:t>涉水制造</w:t>
      </w:r>
      <w:r>
        <w:rPr>
          <w:rFonts w:hint="eastAsia" w:ascii="仿宋_GB2312"/>
          <w:color w:val="000000"/>
          <w:sz w:val="32"/>
          <w:szCs w:val="32"/>
          <w:lang w:val="en-US" w:eastAsia="zh-CN"/>
        </w:rPr>
        <w:t>业，</w:t>
      </w:r>
      <w:r>
        <w:rPr>
          <w:rFonts w:hint="eastAsia" w:ascii="仿宋_GB2312"/>
          <w:color w:val="000000"/>
          <w:sz w:val="32"/>
          <w:szCs w:val="32"/>
        </w:rPr>
        <w:t>开发高端饮用水、医用针剂、美容护肤、生物萃取、健康日化、酒水软饮料等领域高附加值涉水产品，谋划建设啤酒庄园等项目。</w:t>
      </w:r>
      <w:r>
        <w:rPr>
          <w:rFonts w:hint="eastAsia" w:ascii="仿宋_GB2312"/>
          <w:color w:val="000000"/>
          <w:sz w:val="32"/>
          <w:szCs w:val="32"/>
          <w:lang w:val="en-US" w:eastAsia="zh-CN"/>
        </w:rPr>
        <w:t>发展</w:t>
      </w:r>
      <w:r>
        <w:rPr>
          <w:rFonts w:hint="eastAsia" w:ascii="仿宋_GB2312"/>
          <w:color w:val="000000"/>
          <w:sz w:val="32"/>
          <w:szCs w:val="32"/>
        </w:rPr>
        <w:t>水电产业</w:t>
      </w:r>
      <w:r>
        <w:rPr>
          <w:rFonts w:hint="eastAsia" w:ascii="仿宋_GB2312"/>
          <w:color w:val="000000"/>
          <w:sz w:val="32"/>
          <w:szCs w:val="32"/>
          <w:lang w:eastAsia="zh-CN"/>
        </w:rPr>
        <w:t>，</w:t>
      </w:r>
      <w:r>
        <w:rPr>
          <w:rFonts w:hint="eastAsia" w:ascii="仿宋_GB2312"/>
          <w:color w:val="000000"/>
          <w:sz w:val="32"/>
          <w:szCs w:val="32"/>
        </w:rPr>
        <w:t>谋划抽水蓄能电站，加快建设小溪水利枢纽工程，谋划建设清凉基地</w:t>
      </w:r>
      <w:r>
        <w:rPr>
          <w:rFonts w:hint="eastAsia" w:ascii="仿宋_GB2312"/>
          <w:color w:val="000000"/>
          <w:sz w:val="32"/>
          <w:szCs w:val="32"/>
          <w:lang w:eastAsia="zh-CN"/>
        </w:rPr>
        <w:t>。</w:t>
      </w:r>
      <w:r>
        <w:rPr>
          <w:rFonts w:hint="eastAsia" w:ascii="仿宋_GB2312"/>
          <w:color w:val="000000"/>
          <w:sz w:val="32"/>
          <w:szCs w:val="32"/>
          <w:lang w:val="en-US" w:eastAsia="zh-CN"/>
        </w:rPr>
        <w:t>发展</w:t>
      </w:r>
      <w:r>
        <w:rPr>
          <w:rFonts w:hint="eastAsia" w:ascii="仿宋_GB2312"/>
          <w:color w:val="000000"/>
          <w:sz w:val="32"/>
          <w:szCs w:val="32"/>
        </w:rPr>
        <w:t>绿色数据产业。利用全市规模最大的水库群优势，谋划建设绿色数据岛群。</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构建新能源锂电池全产业链。</w:t>
      </w:r>
      <w:r>
        <w:rPr>
          <w:rFonts w:ascii="仿宋_GB2312"/>
          <w:color w:val="000000"/>
          <w:sz w:val="32"/>
          <w:szCs w:val="32"/>
        </w:rPr>
        <w:t>依托丰富的上游资源优势，携手国际、国内合作伙伴，打造“镍钴矿产资源开采-湿法冶炼-前驱体-正极材料-电池应用”新能源全产业链，</w:t>
      </w:r>
      <w:r>
        <w:rPr>
          <w:rFonts w:hint="eastAsia" w:ascii="仿宋_GB2312"/>
          <w:color w:val="000000"/>
          <w:sz w:val="32"/>
          <w:szCs w:val="32"/>
        </w:rPr>
        <w:t>积极布局</w:t>
      </w:r>
      <w:r>
        <w:rPr>
          <w:rFonts w:ascii="仿宋_GB2312"/>
          <w:color w:val="000000"/>
          <w:sz w:val="32"/>
          <w:szCs w:val="32"/>
        </w:rPr>
        <w:t>新能源锂电池下游</w:t>
      </w:r>
      <w:r>
        <w:rPr>
          <w:rFonts w:hint="eastAsia" w:ascii="仿宋_GB2312"/>
          <w:color w:val="000000"/>
          <w:sz w:val="32"/>
          <w:szCs w:val="32"/>
        </w:rPr>
        <w:t>，形成高能量密度锂电池和储能电池生产能力。</w:t>
      </w:r>
    </w:p>
    <w:p>
      <w:pPr>
        <w:pStyle w:val="12"/>
        <w:spacing w:line="560" w:lineRule="exact"/>
        <w:ind w:firstLine="643"/>
        <w:rPr>
          <w:rFonts w:ascii="仿宋_GB2312"/>
          <w:color w:val="000000"/>
          <w:sz w:val="32"/>
          <w:szCs w:val="32"/>
        </w:rPr>
      </w:pPr>
      <w:r>
        <w:rPr>
          <w:rFonts w:hint="eastAsia" w:ascii="仿宋_GB2312"/>
          <w:b/>
          <w:bCs/>
          <w:color w:val="000000"/>
          <w:sz w:val="32"/>
          <w:szCs w:val="32"/>
        </w:rPr>
        <w:t>加快机车制造智能网联发展。</w:t>
      </w:r>
      <w:r>
        <w:rPr>
          <w:rFonts w:hint="eastAsia" w:ascii="仿宋_GB2312"/>
          <w:color w:val="000000"/>
          <w:sz w:val="32"/>
          <w:szCs w:val="32"/>
        </w:rPr>
        <w:t>提升智能快充、芳纶防扎轮胎、PGR电机、高精一体碟刹等技术创新，推动电动车行业的技术升级，不断优化消费者的使用体验。研发高科技芯片技术，从而对车主身份进行精确识别。</w:t>
      </w:r>
    </w:p>
    <w:p>
      <w:pPr>
        <w:pStyle w:val="12"/>
        <w:ind w:firstLine="0" w:firstLineChars="0"/>
        <w:jc w:val="center"/>
        <w:rPr>
          <w:rFonts w:ascii="仿宋_GB2312"/>
          <w:color w:val="000000"/>
          <w:sz w:val="32"/>
          <w:szCs w:val="32"/>
        </w:rPr>
      </w:pPr>
      <w:r>
        <w:drawing>
          <wp:inline distT="0" distB="0" distL="0" distR="0">
            <wp:extent cx="4923790" cy="2506980"/>
            <wp:effectExtent l="0" t="0" r="3810" b="7620"/>
            <wp:docPr id="17" name="图片 17" descr="鱼骨图-高端化发展_07"/>
            <wp:cNvGraphicFramePr/>
            <a:graphic xmlns:a="http://schemas.openxmlformats.org/drawingml/2006/main">
              <a:graphicData uri="http://schemas.openxmlformats.org/drawingml/2006/picture">
                <pic:pic xmlns:pic="http://schemas.openxmlformats.org/drawingml/2006/picture">
                  <pic:nvPicPr>
                    <pic:cNvPr id="17" name="图片 17" descr="鱼骨图-高端化发展_07"/>
                    <pic:cNvPicPr/>
                  </pic:nvPicPr>
                  <pic:blipFill>
                    <a:blip r:embed="rId20"/>
                    <a:stretch>
                      <a:fillRect/>
                    </a:stretch>
                  </pic:blipFill>
                  <pic:spPr>
                    <a:xfrm>
                      <a:off x="0" y="0"/>
                      <a:ext cx="4929871" cy="2506980"/>
                    </a:xfrm>
                    <a:prstGeom prst="rect">
                      <a:avLst/>
                    </a:prstGeom>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9 </w:t>
      </w:r>
      <w:r>
        <w:rPr>
          <w:rFonts w:hint="eastAsia" w:eastAsia="黑体"/>
          <w:sz w:val="24"/>
          <w:szCs w:val="22"/>
          <w:shd w:val="clear" w:color="auto" w:fill="FFFFFF"/>
        </w:rPr>
        <w:t>绿色新能源及机车制造产业升级路线图</w:t>
      </w:r>
    </w:p>
    <w:p>
      <w:pPr>
        <w:rPr>
          <w:rFonts w:hint="eastAsia" w:ascii="楷体_GB2312" w:eastAsia="楷体_GB2312"/>
          <w:color w:val="000000"/>
        </w:rPr>
      </w:pPr>
      <w:bookmarkStart w:id="24" w:name="_Hlk66980659"/>
      <w:r>
        <w:rPr>
          <w:rFonts w:hint="eastAsia" w:ascii="楷体_GB2312" w:eastAsia="楷体_GB2312"/>
          <w:color w:val="000000"/>
        </w:rPr>
        <w:br w:type="page"/>
      </w:r>
    </w:p>
    <w:p>
      <w:pPr>
        <w:pStyle w:val="4"/>
        <w:spacing w:line="560" w:lineRule="exact"/>
        <w:ind w:firstLine="602"/>
        <w:contextualSpacing/>
        <w:rPr>
          <w:rFonts w:ascii="楷体_GB2312" w:eastAsia="楷体_GB2312"/>
          <w:color w:val="000000"/>
        </w:rPr>
      </w:pPr>
      <w:bookmarkStart w:id="25" w:name="_Toc26854"/>
      <w:r>
        <w:rPr>
          <w:rFonts w:hint="eastAsia" w:ascii="楷体_GB2312" w:eastAsia="楷体_GB2312"/>
          <w:color w:val="000000"/>
        </w:rPr>
        <w:t>（六）数字经济</w:t>
      </w:r>
      <w:bookmarkEnd w:id="25"/>
    </w:p>
    <w:bookmarkEnd w:id="24"/>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1、目标定位</w:t>
      </w:r>
    </w:p>
    <w:p>
      <w:pPr>
        <w:pStyle w:val="38"/>
        <w:ind w:firstLine="640"/>
        <w:rPr>
          <w:rFonts w:ascii="仿宋_GB2312"/>
          <w:color w:val="000000"/>
        </w:rPr>
      </w:pPr>
      <w:r>
        <w:rPr>
          <w:rFonts w:hint="eastAsia"/>
        </w:rPr>
        <w:t>围绕“数字产业化、产业数字化”主线，加快培育新兴产业，不断提高供给体系质量。聚焦生态工业数字化改造提升，加快智能化、绿色化、服务化发展。</w:t>
      </w:r>
      <w:r>
        <w:rPr>
          <w:rFonts w:hint="eastAsia" w:ascii="仿宋_GB2312"/>
          <w:color w:val="000000"/>
        </w:rPr>
        <w:t>推动技术改造着力修复传统动力，促进物联网、工业互联网等新兴、数字产业与传统产业的联动发展。</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color w:val="000000"/>
          <w:sz w:val="32"/>
          <w:szCs w:val="32"/>
        </w:rPr>
      </w:pPr>
      <w:r>
        <w:rPr>
          <w:rFonts w:hint="eastAsia" w:ascii="仿宋_GB2312"/>
          <w:b/>
          <w:bCs/>
          <w:color w:val="000000"/>
          <w:sz w:val="32"/>
          <w:szCs w:val="32"/>
        </w:rPr>
        <w:t>数字产业。</w:t>
      </w:r>
      <w:r>
        <w:rPr>
          <w:rFonts w:hint="eastAsia" w:ascii="仿宋_GB2312"/>
          <w:color w:val="000000"/>
          <w:sz w:val="32"/>
          <w:szCs w:val="32"/>
        </w:rPr>
        <w:t>依托信息产业园等特色平台，</w:t>
      </w:r>
      <w:r>
        <w:rPr>
          <w:rFonts w:hint="eastAsia" w:ascii="仿宋_GB2312"/>
          <w:color w:val="0000FF"/>
          <w:sz w:val="32"/>
          <w:szCs w:val="32"/>
          <w:lang w:val="en-US" w:eastAsia="zh-CN"/>
        </w:rPr>
        <w:t>积极培育电竞等未来产业，</w:t>
      </w:r>
      <w:r>
        <w:rPr>
          <w:rFonts w:hint="eastAsia" w:ascii="仿宋_GB2312"/>
          <w:color w:val="000000"/>
          <w:sz w:val="32"/>
          <w:szCs w:val="32"/>
        </w:rPr>
        <w:t>重点发展电光源、电池、半导体、电子元器件等数字经济制造业，做大以电工仪器仪表为代表的高性能监测设备，培育发展机器人及智能装备、软件研发和信息服务、5</w:t>
      </w:r>
      <w:r>
        <w:rPr>
          <w:rFonts w:ascii="仿宋_GB2312"/>
          <w:color w:val="000000"/>
          <w:sz w:val="32"/>
          <w:szCs w:val="32"/>
        </w:rPr>
        <w:t>G</w:t>
      </w:r>
      <w:r>
        <w:rPr>
          <w:rFonts w:hint="eastAsia" w:ascii="仿宋_GB2312"/>
          <w:color w:val="000000"/>
          <w:sz w:val="32"/>
          <w:szCs w:val="32"/>
        </w:rPr>
        <w:t>、工业互联网、智慧安防、智慧健康、VR（虚拟现实）、人工智能和生态数据等数字经济制造业重点领域。</w:t>
      </w:r>
      <w:r>
        <w:rPr>
          <w:rFonts w:ascii="仿宋_GB2312"/>
          <w:color w:val="000000"/>
          <w:sz w:val="32"/>
          <w:szCs w:val="32"/>
        </w:rPr>
        <w:t xml:space="preserve"> </w:t>
      </w:r>
    </w:p>
    <w:p>
      <w:pPr>
        <w:spacing w:line="560" w:lineRule="exact"/>
        <w:ind w:firstLine="643"/>
        <w:rPr>
          <w:rFonts w:ascii="仿宋_GB2312"/>
          <w:color w:val="000000"/>
          <w:sz w:val="32"/>
          <w:szCs w:val="32"/>
        </w:rPr>
      </w:pPr>
      <w:r>
        <w:rPr>
          <w:rFonts w:hint="eastAsia" w:ascii="仿宋_GB2312"/>
          <w:b/>
          <w:bCs/>
          <w:color w:val="000000"/>
          <w:sz w:val="32"/>
          <w:szCs w:val="32"/>
        </w:rPr>
        <w:t>工业互联网。</w:t>
      </w:r>
      <w:r>
        <w:rPr>
          <w:rFonts w:hint="eastAsia" w:ascii="仿宋_GB2312"/>
          <w:color w:val="000000"/>
          <w:sz w:val="32"/>
          <w:szCs w:val="32"/>
        </w:rPr>
        <w:t>依托完善“1+N”工业互联网体系，健全网络、平台、安全功能，支持企业加快内网改造，推动应用新型智能网关，研发推广新型智能装备；引进新一代信息技术企业，培育嵌入式软件、工控软件、数控系统、工业设计、仿真软件等工业软件企业，大力发展工业软件。</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color w:val="000000"/>
          <w:sz w:val="32"/>
          <w:szCs w:val="32"/>
        </w:rPr>
      </w:pPr>
      <w:r>
        <w:rPr>
          <w:rFonts w:hint="eastAsia" w:ascii="仿宋_GB2312"/>
          <w:b/>
          <w:bCs/>
          <w:color w:val="000000"/>
          <w:sz w:val="32"/>
          <w:szCs w:val="32"/>
        </w:rPr>
        <w:t>打造强大的数字创意产业链。</w:t>
      </w:r>
      <w:r>
        <w:rPr>
          <w:rFonts w:hint="eastAsia" w:ascii="仿宋_GB2312"/>
          <w:color w:val="000000"/>
          <w:sz w:val="32"/>
          <w:szCs w:val="32"/>
        </w:rPr>
        <w:t>强化产业链各节点数字视听、装备等的技术研发，软件与产业互联网开发，互联网和移动互联网、5G通信网络建设、推广与应用，解决产业链发展中最关键的人力资源和资本投入问题以及知识产权保护问题，激发产业链各环节上企业的创新活力。</w:t>
      </w:r>
    </w:p>
    <w:p>
      <w:pPr>
        <w:spacing w:line="560" w:lineRule="exact"/>
        <w:ind w:firstLine="643"/>
        <w:rPr>
          <w:rFonts w:ascii="仿宋_GB2312"/>
          <w:color w:val="000000"/>
          <w:sz w:val="32"/>
          <w:szCs w:val="32"/>
        </w:rPr>
      </w:pPr>
      <w:r>
        <w:rPr>
          <w:rFonts w:hint="eastAsia" w:ascii="仿宋_GB2312"/>
          <w:b/>
          <w:bCs/>
          <w:color w:val="000000"/>
          <w:sz w:val="32"/>
          <w:szCs w:val="32"/>
        </w:rPr>
        <w:t>依托工业互联网平台加速制造业向数字化、网络化和智能化方向转型。</w:t>
      </w:r>
      <w:r>
        <w:rPr>
          <w:rFonts w:hint="eastAsia" w:ascii="仿宋_GB2312"/>
          <w:color w:val="000000"/>
          <w:sz w:val="32"/>
          <w:szCs w:val="32"/>
        </w:rPr>
        <w:t>提供基于智能设备的全生命周期管理、远程操作维护、在线监控和信息增值等服务，从而实现“智能产品（装备）+智能服务”一体化发展，构筑制造与服务融合型的产业价值链。</w:t>
      </w:r>
    </w:p>
    <w:p>
      <w:pPr>
        <w:pStyle w:val="12"/>
        <w:ind w:firstLine="0" w:firstLineChars="0"/>
        <w:jc w:val="center"/>
      </w:pPr>
      <w:r>
        <w:drawing>
          <wp:inline distT="0" distB="0" distL="0" distR="0">
            <wp:extent cx="4603750" cy="2590165"/>
            <wp:effectExtent l="0" t="0" r="6350" b="635"/>
            <wp:docPr id="18" name="图片 18" descr="鱼骨图-高端化发展_08"/>
            <wp:cNvGraphicFramePr/>
            <a:graphic xmlns:a="http://schemas.openxmlformats.org/drawingml/2006/main">
              <a:graphicData uri="http://schemas.openxmlformats.org/drawingml/2006/picture">
                <pic:pic xmlns:pic="http://schemas.openxmlformats.org/drawingml/2006/picture">
                  <pic:nvPicPr>
                    <pic:cNvPr id="18" name="图片 18" descr="鱼骨图-高端化发展_08"/>
                    <pic:cNvPicPr/>
                  </pic:nvPicPr>
                  <pic:blipFill>
                    <a:blip r:embed="rId21"/>
                    <a:stretch>
                      <a:fillRect/>
                    </a:stretch>
                  </pic:blipFill>
                  <pic:spPr>
                    <a:xfrm>
                      <a:off x="0" y="0"/>
                      <a:ext cx="4611447" cy="2594286"/>
                    </a:xfrm>
                    <a:prstGeom prst="rect">
                      <a:avLst/>
                    </a:prstGeom>
                  </pic:spPr>
                </pic:pic>
              </a:graphicData>
            </a:graphic>
          </wp:inline>
        </w:drawing>
      </w:r>
    </w:p>
    <w:p>
      <w:pPr>
        <w:shd w:val="solid" w:color="FFFFFF" w:fill="auto"/>
        <w:autoSpaceDN w:val="0"/>
        <w:spacing w:after="204" w:afterLines="50" w:line="600" w:lineRule="exact"/>
        <w:ind w:firstLine="640" w:firstLineChars="0"/>
        <w:jc w:val="center"/>
        <w:outlineLvl w:val="6"/>
        <w:rPr>
          <w:rFonts w:eastAsia="黑体"/>
          <w:sz w:val="24"/>
          <w:szCs w:val="22"/>
          <w:shd w:val="clear" w:color="auto" w:fill="FFFFFF"/>
        </w:rPr>
      </w:pPr>
      <w:r>
        <w:rPr>
          <w:rFonts w:hint="eastAsia" w:eastAsia="黑体"/>
          <w:sz w:val="24"/>
          <w:szCs w:val="22"/>
          <w:shd w:val="clear" w:color="auto" w:fill="FFFFFF"/>
        </w:rPr>
        <w:t>图3-</w:t>
      </w:r>
      <w:r>
        <w:rPr>
          <w:rFonts w:eastAsia="黑体"/>
          <w:sz w:val="24"/>
          <w:szCs w:val="22"/>
          <w:shd w:val="clear" w:color="auto" w:fill="FFFFFF"/>
        </w:rPr>
        <w:t xml:space="preserve">10 </w:t>
      </w:r>
      <w:r>
        <w:rPr>
          <w:rFonts w:hint="eastAsia" w:eastAsia="黑体"/>
          <w:sz w:val="24"/>
          <w:szCs w:val="22"/>
          <w:shd w:val="clear" w:color="auto" w:fill="FFFFFF"/>
        </w:rPr>
        <w:t>数字经济产业升级路线图</w:t>
      </w:r>
    </w:p>
    <w:p>
      <w:pPr>
        <w:pStyle w:val="4"/>
        <w:spacing w:line="560" w:lineRule="exact"/>
        <w:contextualSpacing/>
        <w:rPr>
          <w:rFonts w:ascii="楷体_GB2312" w:hAnsi="等线 Light" w:eastAsia="楷体_GB2312"/>
          <w:b w:val="0"/>
          <w:bCs/>
          <w:color w:val="000000"/>
          <w:sz w:val="32"/>
        </w:rPr>
      </w:pPr>
      <w:bookmarkStart w:id="26" w:name="_Toc11565"/>
      <w:bookmarkStart w:id="27" w:name="_Hlk66980685"/>
      <w:r>
        <w:rPr>
          <w:rFonts w:hint="eastAsia" w:ascii="楷体_GB2312" w:hAnsi="等线 Light" w:eastAsia="楷体_GB2312"/>
          <w:b w:val="0"/>
          <w:bCs/>
          <w:color w:val="000000"/>
          <w:sz w:val="32"/>
        </w:rPr>
        <w:t>（七）现代服务业</w:t>
      </w:r>
      <w:bookmarkEnd w:id="26"/>
    </w:p>
    <w:bookmarkEnd w:id="27"/>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1、目标定位</w:t>
      </w:r>
    </w:p>
    <w:p>
      <w:pPr>
        <w:spacing w:line="560" w:lineRule="exact"/>
        <w:ind w:firstLine="640"/>
        <w:rPr>
          <w:rFonts w:ascii="仿宋_GB2312"/>
          <w:color w:val="000000"/>
          <w:sz w:val="32"/>
          <w:szCs w:val="32"/>
        </w:rPr>
      </w:pPr>
      <w:r>
        <w:rPr>
          <w:rFonts w:hint="eastAsia" w:ascii="仿宋_GB2312"/>
          <w:color w:val="000000"/>
          <w:sz w:val="32"/>
          <w:szCs w:val="32"/>
        </w:rPr>
        <w:t>以“绿水青山就是金山银山”为发展主线，深入实施“深化接轨温州，打造世界青田，建设幸福侨乡”发展战略，积极落实“工业强县、商贸兴县、文化名县”战略举措，着力发展鞋服设计、商贸流通、总部经济、现代金融、文化创意、健康服务六大主导服务业，实施服务业发展“六大工程”，打造进口商品集散地、国家全域旅游示范区、浙江金融强县，全面提升青田服务业现代化水平，将现代服务业培育成为青田经济社会可持续发展的新引擎。</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2、发展重点</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绿色设计。</w:t>
      </w:r>
      <w:r>
        <w:rPr>
          <w:rFonts w:hint="eastAsia" w:ascii="仿宋_GB2312" w:hAnsi="仿宋_GB2312" w:cs="仿宋_GB2312"/>
          <w:sz w:val="32"/>
          <w:szCs w:val="32"/>
        </w:rPr>
        <w:t>推动工业产品尤其是消费类产品的绿色设计，提供更多更有竞争力的绿色设计产品。促进绿色设计产品 “走出去”。工业产品的绿色设计在全球具有普遍共识，需要在借鉴别国有益经验的同时，宣传和推广青田龙头企业的做法和经验，促进青田产品和企业的绿色 “走出去”。</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绿色贸易。</w:t>
      </w:r>
      <w:r>
        <w:rPr>
          <w:rFonts w:hint="eastAsia" w:ascii="仿宋_GB2312" w:hAnsi="仿宋_GB2312" w:cs="仿宋_GB2312"/>
          <w:sz w:val="32"/>
          <w:szCs w:val="32"/>
        </w:rPr>
        <w:t>深入推进“电商换市”，结合侨乡进口商品城建设，重点发展侨乡进口商品城线上线下融合体系。</w:t>
      </w:r>
    </w:p>
    <w:p>
      <w:pPr>
        <w:spacing w:line="560" w:lineRule="exact"/>
        <w:ind w:firstLine="643"/>
        <w:rPr>
          <w:rFonts w:ascii="仿宋_GB2312"/>
          <w:b/>
          <w:bCs/>
          <w:sz w:val="32"/>
        </w:rPr>
      </w:pPr>
      <w:r>
        <w:rPr>
          <w:rFonts w:hint="eastAsia" w:ascii="仿宋_GB2312" w:hAnsi="仿宋_GB2312" w:cs="仿宋_GB2312"/>
          <w:b/>
          <w:bCs/>
          <w:sz w:val="32"/>
          <w:szCs w:val="32"/>
        </w:rPr>
        <w:t>绿色金融。</w:t>
      </w:r>
      <w:r>
        <w:rPr>
          <w:rFonts w:hint="eastAsia" w:ascii="仿宋_GB2312" w:hAnsi="仿宋_GB2312" w:cs="仿宋_GB2312"/>
          <w:sz w:val="32"/>
          <w:szCs w:val="32"/>
        </w:rPr>
        <w:t>大力发展华侨跨境金融，积极开展个人外汇贷款、华侨回乡创业贷款业务，稳步推进企业跨境融资，支持企业运用境内境外两个市场、两种资源降低融资成本，积极发展华侨股权投资基金、创业投资基金，强化青商回归创业、海外创业金融支持。</w:t>
      </w:r>
    </w:p>
    <w:p>
      <w:pPr>
        <w:spacing w:line="560" w:lineRule="exact"/>
        <w:ind w:firstLine="643"/>
        <w:rPr>
          <w:rFonts w:ascii="仿宋_GB2312" w:hAnsi="仿宋_GB2312" w:cs="仿宋_GB2312"/>
          <w:sz w:val="32"/>
          <w:szCs w:val="32"/>
        </w:rPr>
      </w:pPr>
      <w:r>
        <w:rPr>
          <w:rFonts w:hint="eastAsia" w:ascii="仿宋_GB2312"/>
          <w:b/>
          <w:bCs/>
          <w:sz w:val="32"/>
        </w:rPr>
        <w:t>绿色物流。</w:t>
      </w:r>
      <w:r>
        <w:rPr>
          <w:rFonts w:hint="eastAsia" w:ascii="仿宋_GB2312" w:hAnsi="仿宋_GB2312" w:cs="仿宋_GB2312"/>
          <w:sz w:val="32"/>
          <w:szCs w:val="32"/>
        </w:rPr>
        <w:t>推进保税仓库、保税物流中心（B型）等海关特殊监管区申报建设，加强与义新欧专列、温州空港、温州保税物流中心（B型）等的对接联系，通畅进口商品物流通道。结合“商贸兴县”战略举措，加快发展适应电子商务、连锁经营等现代流通方式的城乡配送、快递物流业，加快形成布局合理、运行高效、通行有序、绿色环保的城乡配送网络体系。</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绿色康养。</w:t>
      </w:r>
      <w:r>
        <w:rPr>
          <w:rFonts w:hint="eastAsia" w:ascii="仿宋_GB2312" w:hAnsi="仿宋_GB2312" w:cs="仿宋_GB2312"/>
          <w:sz w:val="32"/>
          <w:szCs w:val="32"/>
        </w:rPr>
        <w:t>以建设功能完善、投入多元、覆盖城乡的养老服务体系为重点，大力发展健康管理、健康信息等健康服务业，推进“健康青田”建设。以“休闲乐园、养生家园”为功能定位，依托社会化养老服务体系，以发展养生房地产、休闲养生文化业等五大休闲养生产业为主导，全力推进生态休闲养生经济发展。</w:t>
      </w:r>
    </w:p>
    <w:p>
      <w:pPr>
        <w:tabs>
          <w:tab w:val="left" w:pos="3405"/>
        </w:tabs>
        <w:spacing w:line="560" w:lineRule="exact"/>
        <w:ind w:firstLine="643"/>
        <w:contextualSpacing/>
        <w:outlineLvl w:val="2"/>
        <w:rPr>
          <w:rFonts w:ascii="仿宋_GB2312"/>
          <w:b/>
          <w:sz w:val="32"/>
          <w:szCs w:val="32"/>
          <w:shd w:val="clear" w:color="auto" w:fill="FFFFFF"/>
        </w:rPr>
      </w:pPr>
      <w:r>
        <w:rPr>
          <w:rFonts w:hint="eastAsia" w:ascii="仿宋_GB2312"/>
          <w:b/>
          <w:sz w:val="32"/>
          <w:szCs w:val="32"/>
          <w:shd w:val="clear" w:color="auto" w:fill="FFFFFF"/>
        </w:rPr>
        <w:t>3、实施路径</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推行以减少碳排放为主的清洁生产。</w:t>
      </w:r>
      <w:r>
        <w:rPr>
          <w:rFonts w:hint="eastAsia" w:ascii="仿宋_GB2312" w:hAnsi="仿宋_GB2312" w:cs="仿宋_GB2312"/>
          <w:sz w:val="32"/>
          <w:szCs w:val="32"/>
        </w:rPr>
        <w:t>坚持“绿色向导”，积极培育低碳产业链，推动建立低碳技术创新和成果转化体系，加快发展绿色能源产业，大力推广清洁生产、绿色认证、节水型企业，力争创建清洁型生产企业8家。</w:t>
      </w:r>
    </w:p>
    <w:p>
      <w:pPr>
        <w:spacing w:line="560" w:lineRule="exact"/>
        <w:ind w:firstLine="643"/>
        <w:rPr>
          <w:rFonts w:ascii="仿宋_GB2312" w:hAnsi="仿宋_GB2312" w:cs="仿宋_GB2312"/>
          <w:sz w:val="32"/>
          <w:szCs w:val="32"/>
        </w:rPr>
      </w:pPr>
      <w:r>
        <w:rPr>
          <w:rFonts w:ascii="仿宋_GB2312" w:hAnsi="仿宋_GB2312" w:cs="仿宋_GB2312"/>
          <w:b/>
          <w:bCs/>
          <w:sz w:val="32"/>
          <w:szCs w:val="32"/>
        </w:rPr>
        <w:t>深入实施新一轮科技型企业“双倍增”行动</w:t>
      </w:r>
      <w:r>
        <w:rPr>
          <w:rFonts w:ascii="仿宋_GB2312" w:hAnsi="仿宋_GB2312" w:cs="仿宋_GB2312"/>
          <w:sz w:val="32"/>
          <w:szCs w:val="32"/>
        </w:rPr>
        <w:t>，力争今年新增国家高新技术企业</w:t>
      </w:r>
      <w:r>
        <w:rPr>
          <w:rFonts w:hint="eastAsia" w:ascii="仿宋_GB2312" w:hAnsi="仿宋_GB2312" w:cs="仿宋_GB2312"/>
          <w:sz w:val="32"/>
          <w:szCs w:val="32"/>
        </w:rPr>
        <w:t>10</w:t>
      </w:r>
      <w:r>
        <w:rPr>
          <w:rFonts w:ascii="仿宋_GB2312" w:hAnsi="仿宋_GB2312" w:cs="仿宋_GB2312"/>
          <w:sz w:val="32"/>
          <w:szCs w:val="32"/>
        </w:rPr>
        <w:t>家以上、省级科技型中小企业15家以上，</w:t>
      </w:r>
      <w:r>
        <w:rPr>
          <w:rFonts w:hint="eastAsia" w:ascii="仿宋_GB2312" w:hAnsi="仿宋_GB2312" w:cs="仿宋_GB2312"/>
          <w:sz w:val="32"/>
          <w:szCs w:val="32"/>
        </w:rPr>
        <w:t>全社会</w:t>
      </w:r>
      <w:r>
        <w:rPr>
          <w:rFonts w:ascii="仿宋_GB2312" w:hAnsi="仿宋_GB2312" w:cs="仿宋_GB2312"/>
          <w:sz w:val="32"/>
          <w:szCs w:val="32"/>
        </w:rPr>
        <w:t>R&amp;D</w:t>
      </w:r>
      <w:r>
        <w:rPr>
          <w:rFonts w:hint="eastAsia" w:ascii="仿宋_GB2312" w:hAnsi="仿宋_GB2312" w:cs="仿宋_GB2312"/>
          <w:sz w:val="32"/>
          <w:szCs w:val="32"/>
        </w:rPr>
        <w:t>投入强度</w:t>
      </w:r>
      <w:r>
        <w:rPr>
          <w:rFonts w:ascii="仿宋_GB2312" w:hAnsi="仿宋_GB2312" w:cs="仿宋_GB2312"/>
          <w:sz w:val="32"/>
          <w:szCs w:val="32"/>
        </w:rPr>
        <w:t>达1.9%以上。</w:t>
      </w:r>
    </w:p>
    <w:p>
      <w:pPr>
        <w:pStyle w:val="12"/>
        <w:spacing w:line="560" w:lineRule="exact"/>
        <w:ind w:firstLine="643"/>
      </w:pPr>
      <w:r>
        <w:rPr>
          <w:rFonts w:hint="eastAsia" w:ascii="仿宋_GB2312" w:hAnsi="仿宋_GB2312" w:cs="仿宋_GB2312"/>
          <w:b/>
          <w:bCs/>
          <w:sz w:val="32"/>
          <w:szCs w:val="32"/>
        </w:rPr>
        <w:t>发挥高校资源优势，开展农村电商培训。</w:t>
      </w:r>
      <w:r>
        <w:rPr>
          <w:rFonts w:hint="eastAsia" w:ascii="仿宋_GB2312" w:hAnsi="仿宋_GB2312" w:cs="仿宋_GB2312"/>
          <w:sz w:val="32"/>
          <w:szCs w:val="32"/>
        </w:rPr>
        <w:t>依托丽水学院、青田职业技术学校等，开展网络电商营销培训，培养一批电子商务、跨境电商创业带头人。</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强化金融产品和服务创新力度，</w:t>
      </w:r>
      <w:r>
        <w:rPr>
          <w:rFonts w:hint="eastAsia" w:ascii="仿宋_GB2312" w:hAnsi="仿宋_GB2312" w:cs="仿宋_GB2312"/>
          <w:sz w:val="32"/>
          <w:szCs w:val="32"/>
        </w:rPr>
        <w:t>构建“创业投资+债权融资+上市融资”多层次创业融资服务体系，推动互联网金融、融资租赁、典当、保理等金融服务规范化发展，探索建立小微企业融资增信体系。进一步完善小企业贷款风险补偿、政府购买保险服务等制度，大力扶持融资性担保业发展。</w:t>
      </w:r>
    </w:p>
    <w:p>
      <w:pPr>
        <w:pStyle w:val="12"/>
        <w:spacing w:line="560" w:lineRule="exact"/>
        <w:ind w:firstLine="643"/>
      </w:pPr>
      <w:r>
        <w:rPr>
          <w:rFonts w:hint="eastAsia" w:ascii="仿宋_GB2312" w:hAnsi="仿宋_GB2312" w:cs="仿宋_GB2312"/>
          <w:b/>
          <w:bCs/>
          <w:sz w:val="32"/>
          <w:szCs w:val="32"/>
        </w:rPr>
        <w:t>建设物流园区。</w:t>
      </w:r>
      <w:r>
        <w:rPr>
          <w:rFonts w:hint="eastAsia" w:cs="黑体"/>
          <w:kern w:val="0"/>
          <w:sz w:val="32"/>
          <w:szCs w:val="32"/>
        </w:rPr>
        <w:t>发挥全市唯一“出海口”的区域优势，建设青田江海联运服务中心，实施青田港腊口港区一期工程，完善青田港大宗商品储运中转和集装箱运输功能，建设铁公水联运物流园区，打造浙西南物流中心。发挥青山钢铁龙头企业优势，进一步扩建，打造公共港口物流园。</w:t>
      </w:r>
      <w:r>
        <w:rPr>
          <w:rFonts w:hint="eastAsia" w:ascii="仿宋_GB2312" w:hAnsi="仿宋_GB2312" w:cs="仿宋_GB2312"/>
          <w:sz w:val="32"/>
          <w:szCs w:val="32"/>
        </w:rPr>
        <w:t>完善进口商品物流体系。</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加快青田石溪养生休闲小镇建设。</w:t>
      </w:r>
      <w:r>
        <w:rPr>
          <w:rFonts w:hint="eastAsia" w:ascii="仿宋_GB2312" w:hAnsi="仿宋_GB2312" w:cs="仿宋_GB2312"/>
          <w:sz w:val="32"/>
          <w:szCs w:val="32"/>
        </w:rPr>
        <w:t>建设千峡湖休闲旅游度假区、石门洞名人文化旅游区、中国石文化休闲旅游区三大休闲养生养老集聚区，打造稻鱼共生、宗教文化、侨乡风情、浙南油茶等六大养生基地，鼓励发展中医预防保健服务，积极开发中医药养生旅游、医疗美容旅游等健康旅游产品和休闲服务。</w:t>
      </w:r>
    </w:p>
    <w:p>
      <w:pPr>
        <w:ind w:firstLine="0" w:firstLineChars="0"/>
        <w:jc w:val="center"/>
      </w:pPr>
      <w:r>
        <w:drawing>
          <wp:inline distT="0" distB="0" distL="0" distR="0">
            <wp:extent cx="4819015" cy="2529840"/>
            <wp:effectExtent l="0" t="0" r="635" b="3810"/>
            <wp:docPr id="19" name="图片 19" descr="鱼骨图-高端化发展_09"/>
            <wp:cNvGraphicFramePr/>
            <a:graphic xmlns:a="http://schemas.openxmlformats.org/drawingml/2006/main">
              <a:graphicData uri="http://schemas.openxmlformats.org/drawingml/2006/picture">
                <pic:pic xmlns:pic="http://schemas.openxmlformats.org/drawingml/2006/picture">
                  <pic:nvPicPr>
                    <pic:cNvPr id="19" name="图片 19" descr="鱼骨图-高端化发展_09"/>
                    <pic:cNvPicPr/>
                  </pic:nvPicPr>
                  <pic:blipFill>
                    <a:blip r:embed="rId22"/>
                    <a:stretch>
                      <a:fillRect/>
                    </a:stretch>
                  </pic:blipFill>
                  <pic:spPr>
                    <a:xfrm>
                      <a:off x="0" y="0"/>
                      <a:ext cx="4844896" cy="2543872"/>
                    </a:xfrm>
                    <a:prstGeom prst="rect">
                      <a:avLst/>
                    </a:prstGeom>
                  </pic:spPr>
                </pic:pic>
              </a:graphicData>
            </a:graphic>
          </wp:inline>
        </w:drawing>
      </w:r>
    </w:p>
    <w:p>
      <w:pPr>
        <w:shd w:val="solid" w:color="FFFFFF" w:fill="auto"/>
        <w:autoSpaceDN w:val="0"/>
        <w:spacing w:after="204" w:afterLines="50" w:line="600" w:lineRule="exact"/>
        <w:ind w:firstLine="640" w:firstLineChars="0"/>
        <w:jc w:val="center"/>
        <w:outlineLvl w:val="6"/>
      </w:pPr>
      <w:r>
        <w:rPr>
          <w:rFonts w:hint="eastAsia" w:eastAsia="黑体"/>
          <w:sz w:val="24"/>
          <w:szCs w:val="22"/>
          <w:shd w:val="clear" w:color="auto" w:fill="FFFFFF"/>
        </w:rPr>
        <w:t>图</w:t>
      </w:r>
      <w:r>
        <w:rPr>
          <w:rFonts w:eastAsia="黑体"/>
          <w:sz w:val="24"/>
          <w:szCs w:val="22"/>
          <w:shd w:val="clear" w:color="auto" w:fill="FFFFFF"/>
        </w:rPr>
        <w:t xml:space="preserve">3-11 </w:t>
      </w:r>
      <w:r>
        <w:rPr>
          <w:rFonts w:hint="eastAsia" w:eastAsia="黑体"/>
          <w:sz w:val="24"/>
          <w:szCs w:val="22"/>
          <w:shd w:val="clear" w:color="auto" w:fill="FFFFFF"/>
        </w:rPr>
        <w:t>现代服务业产业升级路线图</w:t>
      </w:r>
    </w:p>
    <w:p>
      <w:pPr>
        <w:pStyle w:val="29"/>
        <w:spacing w:line="560" w:lineRule="exact"/>
        <w:ind w:firstLine="640"/>
        <w:rPr>
          <w:sz w:val="32"/>
          <w:szCs w:val="32"/>
        </w:rPr>
        <w:sectPr>
          <w:pgSz w:w="11906" w:h="16838"/>
          <w:pgMar w:top="1440" w:right="1800" w:bottom="1440" w:left="1800" w:header="851" w:footer="992" w:gutter="0"/>
          <w:cols w:space="425" w:num="1"/>
          <w:docGrid w:type="lines" w:linePitch="408" w:charSpace="0"/>
        </w:sectPr>
      </w:pPr>
    </w:p>
    <w:p>
      <w:pPr>
        <w:pStyle w:val="29"/>
        <w:spacing w:line="560" w:lineRule="exact"/>
        <w:ind w:firstLine="0" w:firstLineChars="0"/>
        <w:rPr>
          <w:sz w:val="32"/>
          <w:szCs w:val="32"/>
        </w:rPr>
      </w:pPr>
      <w:bookmarkStart w:id="28" w:name="_Toc4372"/>
      <w:r>
        <w:rPr>
          <w:rFonts w:hint="eastAsia"/>
          <w:sz w:val="32"/>
          <w:szCs w:val="32"/>
        </w:rPr>
        <w:t>四、空间布局</w:t>
      </w:r>
      <w:bookmarkEnd w:id="28"/>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全面实施工业平台“二次创业”，</w:t>
      </w:r>
      <w:bookmarkStart w:id="29" w:name="_Hlk66976329"/>
      <w:r>
        <w:rPr>
          <w:rFonts w:hint="eastAsia" w:ascii="仿宋_GB2312" w:hAnsi="仿宋_GB2312" w:cs="仿宋_GB2312"/>
          <w:sz w:val="32"/>
          <w:szCs w:val="32"/>
        </w:rPr>
        <w:t>按照“东部提升、中部崛起、西部拓展”开发思路，加快优化提升瓯江生态经济走廊，谋划一个“</w:t>
      </w:r>
      <w:bookmarkStart w:id="30" w:name="_Hlk62206851"/>
      <w:r>
        <w:rPr>
          <w:rFonts w:hint="eastAsia" w:ascii="仿宋_GB2312" w:hAnsi="仿宋_GB2312" w:cs="仿宋_GB2312"/>
          <w:sz w:val="32"/>
          <w:szCs w:val="32"/>
        </w:rPr>
        <w:t>万亩千亿</w:t>
      </w:r>
      <w:bookmarkEnd w:id="30"/>
      <w:r>
        <w:rPr>
          <w:rFonts w:hint="eastAsia" w:ascii="仿宋_GB2312" w:hAnsi="仿宋_GB2312" w:cs="仿宋_GB2312"/>
          <w:sz w:val="32"/>
          <w:szCs w:val="32"/>
        </w:rPr>
        <w:t>”生态工业发展大平台，规划建设四大工业园，高水平建设一批小微企业园，形成新一代生态工业园区支撑平台。</w:t>
      </w:r>
      <w:bookmarkEnd w:id="29"/>
    </w:p>
    <w:p>
      <w:pPr>
        <w:pStyle w:val="4"/>
        <w:spacing w:line="560" w:lineRule="exact"/>
        <w:ind w:firstLine="602"/>
        <w:contextualSpacing/>
        <w:rPr>
          <w:rFonts w:ascii="楷体_GB2312" w:eastAsia="楷体_GB2312"/>
          <w:color w:val="000000"/>
        </w:rPr>
      </w:pPr>
      <w:bookmarkStart w:id="31" w:name="_Toc15753"/>
      <w:bookmarkStart w:id="32" w:name="_Toc14494"/>
      <w:r>
        <w:rPr>
          <w:rFonts w:hint="eastAsia" w:ascii="楷体_GB2312" w:eastAsia="楷体_GB2312"/>
          <w:color w:val="000000"/>
        </w:rPr>
        <w:t>（一）“万亩千亿”平台</w:t>
      </w:r>
      <w:bookmarkEnd w:id="31"/>
      <w:r>
        <w:rPr>
          <w:rFonts w:hint="eastAsia" w:ascii="楷体_GB2312" w:eastAsia="楷体_GB2312"/>
          <w:color w:val="000000"/>
        </w:rPr>
        <w:t>建设目标</w:t>
      </w:r>
      <w:bookmarkEnd w:id="32"/>
    </w:p>
    <w:p>
      <w:pPr>
        <w:spacing w:line="560" w:lineRule="exact"/>
        <w:ind w:firstLine="640"/>
        <w:rPr>
          <w:rFonts w:ascii="仿宋_GB2312" w:hAnsi="仿宋_GB2312" w:cs="仿宋_GB2312"/>
          <w:sz w:val="32"/>
          <w:szCs w:val="32"/>
        </w:rPr>
      </w:pPr>
      <w:bookmarkStart w:id="33" w:name="_Hlk66976229"/>
      <w:bookmarkStart w:id="34" w:name="_Hlk60222777"/>
      <w:r>
        <w:rPr>
          <w:rFonts w:hint="eastAsia" w:ascii="仿宋_GB2312" w:hAnsi="仿宋_GB2312" w:cs="仿宋_GB2312"/>
          <w:sz w:val="32"/>
          <w:szCs w:val="32"/>
        </w:rPr>
        <w:t>突出战略引领</w:t>
      </w:r>
      <w:bookmarkEnd w:id="33"/>
      <w:r>
        <w:rPr>
          <w:rFonts w:hint="eastAsia" w:ascii="仿宋_GB2312" w:hAnsi="仿宋_GB2312" w:cs="仿宋_GB2312"/>
          <w:sz w:val="32"/>
          <w:szCs w:val="32"/>
        </w:rPr>
        <w:t>，抓住用好全省开发区（园区）整合提升和空间规划调整、平台“二次创业”契机，坚持以资源环境承载能力和国土空间开发适宜性评价为基础，坚持以空间协同推动区域一体化发展、产业集群化发展，力争到202</w:t>
      </w:r>
      <w:r>
        <w:rPr>
          <w:rFonts w:ascii="仿宋_GB2312" w:hAnsi="仿宋_GB2312" w:cs="仿宋_GB2312"/>
          <w:sz w:val="32"/>
          <w:szCs w:val="32"/>
        </w:rPr>
        <w:t>5</w:t>
      </w:r>
      <w:r>
        <w:rPr>
          <w:rFonts w:hint="eastAsia" w:ascii="仿宋_GB2312" w:hAnsi="仿宋_GB2312" w:cs="仿宋_GB2312"/>
          <w:sz w:val="32"/>
          <w:szCs w:val="32"/>
        </w:rPr>
        <w:t>年，新增工业用地</w:t>
      </w:r>
      <w:r>
        <w:rPr>
          <w:rFonts w:ascii="仿宋_GB2312" w:hAnsi="仿宋_GB2312" w:cs="仿宋_GB2312"/>
          <w:sz w:val="32"/>
          <w:szCs w:val="32"/>
        </w:rPr>
        <w:t>5</w:t>
      </w:r>
      <w:r>
        <w:rPr>
          <w:rFonts w:hint="eastAsia" w:ascii="仿宋_GB2312" w:hAnsi="仿宋_GB2312" w:cs="仿宋_GB2312"/>
          <w:sz w:val="32"/>
          <w:szCs w:val="32"/>
        </w:rPr>
        <w:t>000亩以上，全县工业用地总量超过10000亩</w:t>
      </w:r>
      <w:r>
        <w:rPr>
          <w:rStyle w:val="28"/>
          <w:rFonts w:ascii="仿宋_GB2312" w:hAnsi="仿宋_GB2312" w:cs="仿宋_GB2312"/>
          <w:sz w:val="32"/>
          <w:szCs w:val="32"/>
        </w:rPr>
        <w:footnoteReference w:id="3"/>
      </w:r>
      <w:r>
        <w:rPr>
          <w:rFonts w:hint="eastAsia" w:ascii="仿宋_GB2312" w:hAnsi="仿宋_GB2312" w:cs="仿宋_GB2312"/>
          <w:sz w:val="32"/>
          <w:szCs w:val="32"/>
        </w:rPr>
        <w:t>，基本形成生产空间集约高效、生活空间宜居适度、生态空间山清水秀、人与自然和谐共生的空间格局。</w:t>
      </w:r>
    </w:p>
    <w:bookmarkEnd w:id="34"/>
    <w:p>
      <w:pPr>
        <w:pStyle w:val="4"/>
        <w:spacing w:line="560" w:lineRule="exact"/>
        <w:ind w:firstLine="602"/>
        <w:contextualSpacing/>
        <w:rPr>
          <w:rFonts w:ascii="楷体_GB2312" w:eastAsia="楷体_GB2312"/>
          <w:color w:val="000000"/>
        </w:rPr>
      </w:pPr>
      <w:bookmarkStart w:id="35" w:name="_Toc22513"/>
      <w:r>
        <w:rPr>
          <w:rFonts w:hint="eastAsia" w:ascii="楷体_GB2312" w:eastAsia="楷体_GB2312"/>
          <w:color w:val="000000"/>
        </w:rPr>
        <w:t>（二）空间布局</w:t>
      </w:r>
      <w:bookmarkEnd w:id="35"/>
    </w:p>
    <w:p>
      <w:pPr>
        <w:pStyle w:val="5"/>
        <w:keepNext w:val="0"/>
        <w:keepLines w:val="0"/>
        <w:tabs>
          <w:tab w:val="left" w:pos="3405"/>
        </w:tabs>
        <w:spacing w:line="560" w:lineRule="exact"/>
        <w:ind w:firstLine="643"/>
        <w:contextualSpacing/>
        <w:rPr>
          <w:rFonts w:ascii="仿宋_GB2312"/>
          <w:kern w:val="2"/>
          <w:szCs w:val="32"/>
          <w:shd w:val="clear" w:color="auto" w:fill="FFFFFF"/>
        </w:rPr>
      </w:pPr>
      <w:bookmarkStart w:id="36" w:name="_Hlk66981223"/>
      <w:r>
        <w:rPr>
          <w:rFonts w:hint="eastAsia" w:ascii="仿宋_GB2312"/>
          <w:kern w:val="2"/>
          <w:szCs w:val="32"/>
          <w:shd w:val="clear" w:color="auto" w:fill="FFFFFF"/>
        </w:rPr>
        <w:t>1、东部工业园</w:t>
      </w:r>
    </w:p>
    <w:bookmarkEnd w:id="36"/>
    <w:p>
      <w:pPr>
        <w:pStyle w:val="40"/>
        <w:spacing w:line="560" w:lineRule="exact"/>
        <w:ind w:firstLine="643"/>
        <w:rPr>
          <w:rFonts w:ascii="仿宋_GB2312" w:eastAsia="仿宋_GB2312"/>
          <w:sz w:val="32"/>
        </w:rPr>
      </w:pPr>
      <w:r>
        <w:rPr>
          <w:rFonts w:hint="eastAsia" w:ascii="仿宋_GB2312" w:eastAsia="仿宋_GB2312"/>
          <w:sz w:val="32"/>
        </w:rPr>
        <w:t>（1）建设导向</w:t>
      </w:r>
    </w:p>
    <w:p>
      <w:pPr>
        <w:spacing w:line="560" w:lineRule="exact"/>
        <w:ind w:firstLine="640"/>
        <w:rPr>
          <w:rFonts w:ascii="仿宋_GB2312"/>
          <w:sz w:val="32"/>
        </w:rPr>
      </w:pPr>
      <w:r>
        <w:rPr>
          <w:rFonts w:hint="eastAsia" w:ascii="仿宋_GB2312"/>
          <w:sz w:val="32"/>
        </w:rPr>
        <w:t>依托意尔康、起步等时尚鞋服产业龙头企业，推进建设鞋产业创新服务综合体，以意尔康创意园、起步科创园等为载体，打造成为</w:t>
      </w:r>
      <w:r>
        <w:rPr>
          <w:rFonts w:hint="eastAsia" w:ascii="仿宋_GB2312"/>
          <w:b/>
          <w:bCs/>
          <w:sz w:val="32"/>
        </w:rPr>
        <w:t>国内知名的成品鞋生产基地</w:t>
      </w:r>
      <w:r>
        <w:rPr>
          <w:rFonts w:hint="eastAsia" w:ascii="仿宋_GB2312"/>
          <w:sz w:val="32"/>
        </w:rPr>
        <w:t>。依托绿水、三辰、安特等骨干企业，加快打造形成</w:t>
      </w:r>
      <w:r>
        <w:rPr>
          <w:rFonts w:hint="eastAsia" w:ascii="仿宋_GB2312"/>
          <w:b/>
          <w:bCs/>
          <w:sz w:val="32"/>
        </w:rPr>
        <w:t>以环保装备、电气设备为特色的高端装备产业基地</w:t>
      </w:r>
      <w:r>
        <w:rPr>
          <w:rFonts w:hint="eastAsia" w:ascii="仿宋_GB2312"/>
          <w:sz w:val="32"/>
        </w:rPr>
        <w:t>。依托东南管桩、东泰石料等代表性企业作用，发挥矿产、砂石资源优势，加快打造</w:t>
      </w:r>
      <w:r>
        <w:rPr>
          <w:rFonts w:hint="eastAsia" w:ascii="仿宋_GB2312"/>
          <w:b/>
          <w:bCs/>
          <w:sz w:val="32"/>
        </w:rPr>
        <w:t>绿色建筑材料生产基地</w:t>
      </w:r>
      <w:r>
        <w:rPr>
          <w:rFonts w:hint="eastAsia" w:ascii="仿宋_GB2312"/>
          <w:sz w:val="32"/>
        </w:rPr>
        <w:t>。</w:t>
      </w:r>
      <w:r>
        <w:rPr>
          <w:rFonts w:hint="eastAsia" w:ascii="仿宋_GB2312" w:hAnsi="仿宋_GB2312" w:cs="仿宋_GB2312"/>
          <w:sz w:val="32"/>
          <w:szCs w:val="32"/>
        </w:rPr>
        <w:t>优化提升</w:t>
      </w:r>
      <w:r>
        <w:rPr>
          <w:rFonts w:hint="eastAsia" w:ascii="仿宋_GB2312" w:hAnsi="仿宋_GB2312" w:cs="仿宋_GB2312"/>
          <w:b/>
          <w:bCs/>
          <w:sz w:val="32"/>
          <w:szCs w:val="32"/>
        </w:rPr>
        <w:t>青田石雕小镇特色小镇</w:t>
      </w:r>
      <w:r>
        <w:rPr>
          <w:rFonts w:hint="eastAsia" w:ascii="仿宋_GB2312" w:hAnsi="仿宋_GB2312" w:cs="仿宋_GB2312"/>
          <w:sz w:val="32"/>
          <w:szCs w:val="32"/>
        </w:rPr>
        <w:t>。</w:t>
      </w:r>
    </w:p>
    <w:p>
      <w:pPr>
        <w:pStyle w:val="40"/>
        <w:spacing w:line="560" w:lineRule="exact"/>
        <w:ind w:firstLine="643"/>
        <w:rPr>
          <w:rFonts w:ascii="仿宋_GB2312" w:eastAsia="仿宋_GB2312"/>
          <w:sz w:val="32"/>
        </w:rPr>
      </w:pPr>
      <w:r>
        <w:rPr>
          <w:rFonts w:hint="eastAsia" w:ascii="仿宋_GB2312" w:eastAsia="仿宋_GB2312"/>
          <w:sz w:val="32"/>
        </w:rPr>
        <w:t>（2）空间规划</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整合提升温溪工业园、油竹工业园和山口工业园，规划新增工业用地1</w:t>
      </w:r>
      <w:r>
        <w:rPr>
          <w:rFonts w:ascii="仿宋_GB2312" w:hAnsi="仿宋_GB2312" w:cs="仿宋_GB2312"/>
          <w:sz w:val="32"/>
          <w:szCs w:val="32"/>
        </w:rPr>
        <w:t>800</w:t>
      </w:r>
      <w:r>
        <w:rPr>
          <w:rFonts w:hint="eastAsia" w:ascii="仿宋_GB2312" w:hAnsi="仿宋_GB2312" w:cs="仿宋_GB2312"/>
          <w:sz w:val="32"/>
          <w:szCs w:val="32"/>
        </w:rPr>
        <w:t>亩，其中已出让工业用地为4</w:t>
      </w:r>
      <w:r>
        <w:rPr>
          <w:rFonts w:ascii="仿宋_GB2312" w:hAnsi="仿宋_GB2312" w:cs="仿宋_GB2312"/>
          <w:sz w:val="32"/>
          <w:szCs w:val="32"/>
        </w:rPr>
        <w:t>54</w:t>
      </w:r>
      <w:r>
        <w:rPr>
          <w:rFonts w:hint="eastAsia" w:ascii="仿宋_GB2312" w:hAnsi="仿宋_GB2312" w:cs="仿宋_GB2312"/>
          <w:sz w:val="32"/>
          <w:szCs w:val="32"/>
        </w:rPr>
        <w:t>亩，拟出让工业用地为2</w:t>
      </w:r>
      <w:r>
        <w:rPr>
          <w:rFonts w:ascii="仿宋_GB2312" w:hAnsi="仿宋_GB2312" w:cs="仿宋_GB2312"/>
          <w:sz w:val="32"/>
          <w:szCs w:val="32"/>
        </w:rPr>
        <w:t>21</w:t>
      </w:r>
      <w:r>
        <w:rPr>
          <w:rFonts w:hint="eastAsia" w:ascii="仿宋_GB2312" w:hAnsi="仿宋_GB2312" w:cs="仿宋_GB2312"/>
          <w:sz w:val="32"/>
          <w:szCs w:val="32"/>
        </w:rPr>
        <w:t>亩，正在开发的工业用地为1</w:t>
      </w:r>
      <w:r>
        <w:rPr>
          <w:rFonts w:ascii="仿宋_GB2312" w:hAnsi="仿宋_GB2312" w:cs="仿宋_GB2312"/>
          <w:sz w:val="32"/>
          <w:szCs w:val="32"/>
        </w:rPr>
        <w:t>040</w:t>
      </w:r>
      <w:r>
        <w:rPr>
          <w:rFonts w:hint="eastAsia" w:ascii="仿宋_GB2312" w:hAnsi="仿宋_GB2312" w:cs="仿宋_GB2312"/>
          <w:sz w:val="32"/>
          <w:szCs w:val="32"/>
        </w:rPr>
        <w:t>亩，拟开发工业用地8</w:t>
      </w:r>
      <w:r>
        <w:rPr>
          <w:rFonts w:ascii="仿宋_GB2312" w:hAnsi="仿宋_GB2312" w:cs="仿宋_GB2312"/>
          <w:sz w:val="32"/>
          <w:szCs w:val="32"/>
        </w:rPr>
        <w:t>0</w:t>
      </w:r>
      <w:r>
        <w:rPr>
          <w:rFonts w:hint="eastAsia" w:ascii="仿宋_GB2312" w:hAnsi="仿宋_GB2312" w:cs="仿宋_GB2312"/>
          <w:sz w:val="32"/>
          <w:szCs w:val="32"/>
        </w:rPr>
        <w:t>亩（如图4-</w:t>
      </w:r>
      <w:r>
        <w:rPr>
          <w:rFonts w:ascii="仿宋_GB2312" w:hAnsi="仿宋_GB2312" w:cs="仿宋_GB2312"/>
          <w:sz w:val="32"/>
          <w:szCs w:val="32"/>
        </w:rPr>
        <w:t>1</w:t>
      </w:r>
      <w:r>
        <w:rPr>
          <w:rFonts w:hint="eastAsia" w:ascii="仿宋_GB2312" w:hAnsi="仿宋_GB2312" w:cs="仿宋_GB2312"/>
          <w:sz w:val="32"/>
          <w:szCs w:val="32"/>
        </w:rPr>
        <w:t>）。</w:t>
      </w:r>
      <w:r>
        <w:rPr>
          <w:rFonts w:ascii="仿宋_GB2312" w:hAnsi="仿宋_GB2312" w:cs="仿宋_GB2312"/>
          <w:sz w:val="32"/>
          <w:szCs w:val="32"/>
        </w:rPr>
        <w:t xml:space="preserve"> </w:t>
      </w:r>
    </w:p>
    <w:p>
      <w:pPr>
        <w:pStyle w:val="12"/>
        <w:ind w:firstLine="600"/>
      </w:pPr>
    </w:p>
    <w:p>
      <w:pPr>
        <w:pStyle w:val="38"/>
        <w:spacing w:line="240" w:lineRule="auto"/>
        <w:ind w:firstLine="0" w:firstLineChars="0"/>
        <w:jc w:val="center"/>
      </w:pPr>
      <w:r>
        <w:drawing>
          <wp:inline distT="0" distB="0" distL="0" distR="0">
            <wp:extent cx="4466590" cy="292925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a:extLst>
                        <a:ext uri="{28A0092B-C50C-407E-A947-70E740481C1C}">
                          <a14:useLocalDpi xmlns:a14="http://schemas.microsoft.com/office/drawing/2010/main" val="0"/>
                        </a:ext>
                      </a:extLst>
                    </a:blip>
                    <a:srcRect t="9279" b="11234"/>
                    <a:stretch>
                      <a:fillRect/>
                    </a:stretch>
                  </pic:blipFill>
                  <pic:spPr>
                    <a:xfrm>
                      <a:off x="0" y="0"/>
                      <a:ext cx="4466590" cy="2929687"/>
                    </a:xfrm>
                    <a:prstGeom prst="rect">
                      <a:avLst/>
                    </a:prstGeom>
                    <a:noFill/>
                    <a:ln>
                      <a:noFill/>
                    </a:ln>
                  </pic:spPr>
                </pic:pic>
              </a:graphicData>
            </a:graphic>
          </wp:inline>
        </w:drawing>
      </w:r>
    </w:p>
    <w:p>
      <w:pPr>
        <w:pStyle w:val="33"/>
        <w:spacing w:after="204" w:line="240" w:lineRule="auto"/>
        <w:ind w:firstLine="602"/>
      </w:pPr>
      <w:r>
        <w:rPr>
          <w:rFonts w:hint="eastAsia"/>
        </w:rPr>
        <w:t>图</w:t>
      </w:r>
      <w:r>
        <w:t xml:space="preserve">4-1 </w:t>
      </w:r>
      <w:r>
        <w:rPr>
          <w:rFonts w:hint="eastAsia"/>
        </w:rPr>
        <w:t>青田县东部工业园示意图</w:t>
      </w:r>
    </w:p>
    <w:p>
      <w:pPr>
        <w:pStyle w:val="40"/>
        <w:spacing w:line="560" w:lineRule="exact"/>
        <w:ind w:firstLine="643"/>
        <w:rPr>
          <w:rFonts w:ascii="仿宋_GB2312" w:eastAsia="仿宋_GB2312"/>
          <w:sz w:val="32"/>
        </w:rPr>
      </w:pPr>
      <w:r>
        <w:rPr>
          <w:rFonts w:hint="eastAsia" w:ascii="仿宋_GB2312" w:eastAsia="仿宋_GB2312"/>
          <w:sz w:val="32"/>
        </w:rPr>
        <w:t>（3）重点举措</w:t>
      </w:r>
      <w:r>
        <w:rPr>
          <w:rFonts w:ascii="仿宋_GB2312" w:eastAsia="仿宋_GB2312"/>
          <w:sz w:val="32"/>
        </w:rPr>
        <w:t xml:space="preserve">                                                                                                                                                     </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一是加快推动传统鞋服产业改造提升。</w:t>
      </w:r>
      <w:r>
        <w:rPr>
          <w:rFonts w:hint="eastAsia" w:ascii="仿宋_GB2312" w:hAnsi="仿宋_GB2312" w:cs="仿宋_GB2312"/>
          <w:sz w:val="32"/>
          <w:szCs w:val="32"/>
        </w:rPr>
        <w:t>加快使用行业内成熟的环保新材料，积极应用人体工程学方面的新成果，积极开发以绿色纤维、功能性纤维、生态皮革、特殊效应革和特种革等为原料的新产品。推动传统鞋服加工制造产业向设计创新引领的时尚产业转变，鼓励企业加大科技创新投入，依托龙头企业意尔康、起步等省级技术研发设计平台，引进和培养一批时尚产业高端设计人才，提高产品设计开发能力。</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二是加快培育节能环保装备集群。</w:t>
      </w:r>
      <w:r>
        <w:rPr>
          <w:rFonts w:hint="eastAsia" w:ascii="仿宋_GB2312" w:hAnsi="仿宋_GB2312" w:cs="仿宋_GB2312"/>
          <w:sz w:val="32"/>
          <w:szCs w:val="32"/>
        </w:rPr>
        <w:t>通过首台（套）装备开发、重点企业研究院培育、青年科学家引进等措施重点支持环保装备产业，利用绿水分离新三板上市的机遇，引进和培育一批相关联企业，努力形成比较完备的环保装备产业链。支持发展污水和污泥处理系统等节能环保设备。</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三是持续推进青田石雕小镇建设。</w:t>
      </w:r>
      <w:r>
        <w:rPr>
          <w:rFonts w:hint="eastAsia" w:ascii="仿宋_GB2312" w:hAnsi="仿宋_GB2312" w:cs="仿宋_GB2312"/>
          <w:sz w:val="32"/>
          <w:szCs w:val="32"/>
        </w:rPr>
        <w:t>强化石雕生产企业粉尘治理，推进园区循环化改造。以实现产业转型升级、产业创新集聚为导向，融合大数据、3D打印、“互联网+”等技术架构，推进石雕文化产业园、石雕艺术创作基地等产业延伸项目建设，健全原石交易、石雕定价、电商营销、3D雕刻等配套服务功能，促进青田石雕产业精品化、电商化、集群化路径提升发展。</w:t>
      </w:r>
    </w:p>
    <w:p>
      <w:pPr>
        <w:pStyle w:val="5"/>
        <w:keepNext w:val="0"/>
        <w:keepLines w:val="0"/>
        <w:tabs>
          <w:tab w:val="left" w:pos="3405"/>
        </w:tabs>
        <w:spacing w:line="560" w:lineRule="exact"/>
        <w:ind w:firstLine="643"/>
        <w:contextualSpacing/>
        <w:rPr>
          <w:rFonts w:ascii="仿宋_GB2312"/>
          <w:kern w:val="2"/>
          <w:szCs w:val="32"/>
          <w:shd w:val="clear" w:color="auto" w:fill="FFFFFF"/>
        </w:rPr>
      </w:pPr>
      <w:bookmarkStart w:id="37" w:name="_Hlk66981236"/>
      <w:r>
        <w:rPr>
          <w:rFonts w:hint="eastAsia" w:ascii="仿宋_GB2312"/>
          <w:kern w:val="2"/>
          <w:szCs w:val="32"/>
          <w:shd w:val="clear" w:color="auto" w:fill="FFFFFF"/>
        </w:rPr>
        <w:t>2、中部工业园区</w:t>
      </w:r>
    </w:p>
    <w:bookmarkEnd w:id="37"/>
    <w:p>
      <w:pPr>
        <w:pStyle w:val="40"/>
        <w:spacing w:line="560" w:lineRule="exact"/>
        <w:ind w:firstLine="643"/>
        <w:rPr>
          <w:rFonts w:ascii="仿宋_GB2312" w:eastAsia="仿宋_GB2312"/>
          <w:sz w:val="32"/>
        </w:rPr>
      </w:pPr>
      <w:r>
        <w:rPr>
          <w:rFonts w:hint="eastAsia" w:ascii="仿宋_GB2312" w:eastAsia="仿宋_GB2312"/>
          <w:sz w:val="32"/>
        </w:rPr>
        <w:t>（1）建设导向</w:t>
      </w:r>
    </w:p>
    <w:p>
      <w:pPr>
        <w:spacing w:line="560" w:lineRule="exact"/>
        <w:ind w:firstLine="640"/>
        <w:rPr>
          <w:rFonts w:ascii="仿宋_GB2312" w:hAnsi="仿宋_GB2312" w:cs="仿宋_GB2312"/>
          <w:sz w:val="32"/>
          <w:szCs w:val="32"/>
        </w:rPr>
      </w:pPr>
      <w:r>
        <w:rPr>
          <w:rFonts w:hint="eastAsia" w:ascii="仿宋_GB2312"/>
          <w:sz w:val="32"/>
        </w:rPr>
        <w:t>依托国际智能电器产业园和中部阀门产业园，重点发展成套阀门和军工核电阀门，发挥环保装备、直流电频、仪表电器等领域领先优势，提高项目系统集成力，发展打造集设计、研发、制造、服务于一体的精密阀门（高端装备）产业链，建设成为</w:t>
      </w:r>
      <w:r>
        <w:rPr>
          <w:rFonts w:hint="eastAsia" w:ascii="仿宋_GB2312"/>
          <w:b/>
          <w:bCs/>
          <w:sz w:val="32"/>
        </w:rPr>
        <w:t>省内最大的精密阀门（高端装备）生产基地</w:t>
      </w:r>
      <w:r>
        <w:rPr>
          <w:rFonts w:hint="eastAsia" w:ascii="仿宋_GB2312"/>
          <w:sz w:val="32"/>
        </w:rPr>
        <w:t>。</w:t>
      </w:r>
      <w:r>
        <w:rPr>
          <w:rFonts w:hint="eastAsia" w:ascii="仿宋_GB2312" w:hAnsi="仿宋_GB2312" w:cs="仿宋_GB2312"/>
          <w:sz w:val="32"/>
          <w:szCs w:val="32"/>
        </w:rPr>
        <w:t>优化提升黄</w:t>
      </w:r>
      <w:r>
        <w:rPr>
          <w:rFonts w:hint="eastAsia" w:ascii="微软雅黑" w:hAnsi="微软雅黑" w:eastAsia="微软雅黑" w:cs="微软雅黑"/>
          <w:sz w:val="32"/>
          <w:szCs w:val="32"/>
        </w:rPr>
        <w:t>垟</w:t>
      </w:r>
      <w:r>
        <w:rPr>
          <w:rFonts w:hint="eastAsia" w:ascii="仿宋_GB2312" w:hAnsi="仿宋_GB2312" w:cs="仿宋_GB2312"/>
          <w:sz w:val="32"/>
          <w:szCs w:val="32"/>
        </w:rPr>
        <w:t>工业园，发挥钼资源优势，培育发展钼矿产业，打造</w:t>
      </w:r>
      <w:r>
        <w:rPr>
          <w:rFonts w:hint="eastAsia" w:ascii="仿宋_GB2312" w:hAnsi="仿宋_GB2312" w:cs="仿宋_GB2312"/>
          <w:b/>
          <w:bCs/>
          <w:sz w:val="32"/>
          <w:szCs w:val="32"/>
        </w:rPr>
        <w:t>全国特色钼资源产业园</w:t>
      </w:r>
      <w:r>
        <w:rPr>
          <w:rFonts w:hint="eastAsia" w:ascii="仿宋_GB2312" w:hAnsi="仿宋_GB2312" w:cs="仿宋_GB2312"/>
          <w:sz w:val="32"/>
          <w:szCs w:val="32"/>
        </w:rPr>
        <w:t>。</w:t>
      </w:r>
    </w:p>
    <w:p>
      <w:pPr>
        <w:pStyle w:val="40"/>
        <w:spacing w:line="560" w:lineRule="exact"/>
        <w:ind w:firstLine="643"/>
        <w:rPr>
          <w:rFonts w:ascii="仿宋_GB2312" w:eastAsia="仿宋_GB2312"/>
          <w:sz w:val="32"/>
        </w:rPr>
      </w:pPr>
      <w:r>
        <w:rPr>
          <w:rFonts w:hint="eastAsia" w:ascii="仿宋_GB2312" w:eastAsia="仿宋_GB2312"/>
          <w:sz w:val="32"/>
        </w:rPr>
        <w:t>（2）空间规划</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以船寮工业园为中心，包括高湖工业园、东源工业园和黄</w:t>
      </w:r>
      <w:r>
        <w:rPr>
          <w:rFonts w:hint="eastAsia" w:ascii="微软雅黑" w:hAnsi="微软雅黑" w:eastAsia="微软雅黑" w:cs="微软雅黑"/>
          <w:sz w:val="32"/>
          <w:szCs w:val="32"/>
        </w:rPr>
        <w:t>垟</w:t>
      </w:r>
      <w:r>
        <w:rPr>
          <w:rFonts w:hint="eastAsia" w:ascii="仿宋_GB2312" w:hAnsi="仿宋_GB2312" w:cs="仿宋_GB2312"/>
          <w:sz w:val="32"/>
          <w:szCs w:val="32"/>
        </w:rPr>
        <w:t>工业园，规划新增工业用地1</w:t>
      </w:r>
      <w:r>
        <w:rPr>
          <w:rFonts w:ascii="仿宋_GB2312" w:hAnsi="仿宋_GB2312" w:cs="仿宋_GB2312"/>
          <w:sz w:val="32"/>
          <w:szCs w:val="32"/>
        </w:rPr>
        <w:t>600</w:t>
      </w:r>
      <w:r>
        <w:rPr>
          <w:rFonts w:hint="eastAsia" w:ascii="仿宋_GB2312" w:hAnsi="仿宋_GB2312" w:cs="仿宋_GB2312"/>
          <w:sz w:val="32"/>
          <w:szCs w:val="32"/>
        </w:rPr>
        <w:t>亩，</w:t>
      </w:r>
      <w:bookmarkStart w:id="38" w:name="_Hlk61133900"/>
      <w:r>
        <w:rPr>
          <w:rFonts w:hint="eastAsia" w:ascii="仿宋_GB2312" w:hAnsi="仿宋_GB2312" w:cs="仿宋_GB2312"/>
          <w:sz w:val="32"/>
          <w:szCs w:val="32"/>
        </w:rPr>
        <w:t>其中已出让工业用地8</w:t>
      </w:r>
      <w:r>
        <w:rPr>
          <w:rFonts w:ascii="仿宋_GB2312" w:hAnsi="仿宋_GB2312" w:cs="仿宋_GB2312"/>
          <w:sz w:val="32"/>
          <w:szCs w:val="32"/>
        </w:rPr>
        <w:t>46</w:t>
      </w:r>
      <w:r>
        <w:rPr>
          <w:rFonts w:hint="eastAsia" w:ascii="仿宋_GB2312" w:hAnsi="仿宋_GB2312" w:cs="仿宋_GB2312"/>
          <w:sz w:val="32"/>
          <w:szCs w:val="32"/>
        </w:rPr>
        <w:t>亩，拟出让工业用地2</w:t>
      </w:r>
      <w:r>
        <w:rPr>
          <w:rFonts w:ascii="仿宋_GB2312" w:hAnsi="仿宋_GB2312" w:cs="仿宋_GB2312"/>
          <w:sz w:val="32"/>
          <w:szCs w:val="32"/>
        </w:rPr>
        <w:t>52</w:t>
      </w:r>
      <w:r>
        <w:rPr>
          <w:rFonts w:hint="eastAsia" w:ascii="仿宋_GB2312" w:hAnsi="仿宋_GB2312" w:cs="仿宋_GB2312"/>
          <w:sz w:val="32"/>
          <w:szCs w:val="32"/>
        </w:rPr>
        <w:t>亩，正在开发的工业用地为3</w:t>
      </w:r>
      <w:r>
        <w:rPr>
          <w:rFonts w:ascii="仿宋_GB2312" w:hAnsi="仿宋_GB2312" w:cs="仿宋_GB2312"/>
          <w:sz w:val="32"/>
          <w:szCs w:val="32"/>
        </w:rPr>
        <w:t>70</w:t>
      </w:r>
      <w:r>
        <w:rPr>
          <w:rFonts w:hint="eastAsia" w:ascii="仿宋_GB2312" w:hAnsi="仿宋_GB2312" w:cs="仿宋_GB2312"/>
          <w:sz w:val="32"/>
          <w:szCs w:val="32"/>
        </w:rPr>
        <w:t>亩，拟开发工业用地1</w:t>
      </w:r>
      <w:r>
        <w:rPr>
          <w:rFonts w:ascii="仿宋_GB2312" w:hAnsi="仿宋_GB2312" w:cs="仿宋_GB2312"/>
          <w:sz w:val="32"/>
          <w:szCs w:val="32"/>
        </w:rPr>
        <w:t>50</w:t>
      </w:r>
      <w:r>
        <w:rPr>
          <w:rFonts w:hint="eastAsia" w:ascii="仿宋_GB2312" w:hAnsi="仿宋_GB2312" w:cs="仿宋_GB2312"/>
          <w:sz w:val="32"/>
          <w:szCs w:val="32"/>
        </w:rPr>
        <w:t>亩</w:t>
      </w:r>
      <w:bookmarkEnd w:id="38"/>
      <w:r>
        <w:rPr>
          <w:rFonts w:hint="eastAsia" w:ascii="仿宋_GB2312" w:hAnsi="仿宋_GB2312" w:cs="仿宋_GB2312"/>
          <w:sz w:val="32"/>
          <w:szCs w:val="32"/>
        </w:rPr>
        <w:t>（如图4-</w:t>
      </w:r>
      <w:r>
        <w:rPr>
          <w:rFonts w:ascii="仿宋_GB2312" w:hAnsi="仿宋_GB2312" w:cs="仿宋_GB2312"/>
          <w:sz w:val="32"/>
          <w:szCs w:val="32"/>
        </w:rPr>
        <w:t>3</w:t>
      </w:r>
      <w:r>
        <w:rPr>
          <w:rFonts w:hint="eastAsia" w:ascii="仿宋_GB2312" w:hAnsi="仿宋_GB2312" w:cs="仿宋_GB2312"/>
          <w:sz w:val="32"/>
          <w:szCs w:val="32"/>
        </w:rPr>
        <w:t>）.</w:t>
      </w:r>
    </w:p>
    <w:p>
      <w:pPr>
        <w:pStyle w:val="12"/>
        <w:ind w:firstLine="0" w:firstLineChars="0"/>
        <w:jc w:val="center"/>
      </w:pPr>
      <w:r>
        <w:drawing>
          <wp:inline distT="0" distB="0" distL="0" distR="0">
            <wp:extent cx="5274310" cy="4017010"/>
            <wp:effectExtent l="0" t="0" r="254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a:extLst>
                        <a:ext uri="{28A0092B-C50C-407E-A947-70E740481C1C}">
                          <a14:useLocalDpi xmlns:a14="http://schemas.microsoft.com/office/drawing/2010/main" val="0"/>
                        </a:ext>
                      </a:extLst>
                    </a:blip>
                    <a:srcRect t="7703"/>
                    <a:stretch>
                      <a:fillRect/>
                    </a:stretch>
                  </pic:blipFill>
                  <pic:spPr>
                    <a:xfrm>
                      <a:off x="0" y="0"/>
                      <a:ext cx="5274310" cy="4017010"/>
                    </a:xfrm>
                    <a:prstGeom prst="rect">
                      <a:avLst/>
                    </a:prstGeom>
                    <a:noFill/>
                    <a:ln>
                      <a:noFill/>
                    </a:ln>
                  </pic:spPr>
                </pic:pic>
              </a:graphicData>
            </a:graphic>
          </wp:inline>
        </w:drawing>
      </w:r>
    </w:p>
    <w:p>
      <w:pPr>
        <w:pStyle w:val="33"/>
        <w:pBdr>
          <w:top w:val="none" w:color="auto" w:sz="0" w:space="0"/>
          <w:left w:val="none" w:color="auto" w:sz="0" w:space="0"/>
          <w:bottom w:val="none" w:color="auto" w:sz="0" w:space="0"/>
          <w:right w:val="none" w:color="auto" w:sz="0" w:space="0"/>
        </w:pBdr>
        <w:spacing w:after="204"/>
        <w:ind w:firstLine="602"/>
      </w:pPr>
      <w:r>
        <w:rPr>
          <w:rFonts w:hint="eastAsia"/>
        </w:rPr>
        <w:t>图</w:t>
      </w:r>
      <w:r>
        <w:t xml:space="preserve">4-2 </w:t>
      </w:r>
      <w:r>
        <w:rPr>
          <w:rFonts w:hint="eastAsia"/>
        </w:rPr>
        <w:t>青田县中部工业园示意图</w:t>
      </w:r>
    </w:p>
    <w:p>
      <w:pPr>
        <w:pStyle w:val="40"/>
        <w:spacing w:line="560" w:lineRule="exact"/>
        <w:ind w:firstLine="643"/>
        <w:rPr>
          <w:rFonts w:ascii="仿宋_GB2312" w:eastAsia="仿宋_GB2312"/>
          <w:sz w:val="32"/>
        </w:rPr>
      </w:pPr>
      <w:r>
        <w:rPr>
          <w:rFonts w:hint="eastAsia" w:ascii="仿宋_GB2312" w:eastAsia="仿宋_GB2312"/>
          <w:sz w:val="32"/>
        </w:rPr>
        <w:t>（3）重点举措</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一是加快推动传统产业改造提升。</w:t>
      </w:r>
      <w:r>
        <w:rPr>
          <w:rFonts w:hint="eastAsia" w:ascii="仿宋_GB2312" w:hAnsi="仿宋_GB2312" w:cs="仿宋_GB2312"/>
          <w:sz w:val="32"/>
          <w:szCs w:val="32"/>
        </w:rPr>
        <w:t>深化“亩均论英雄”改革，支持区内传统鞋服生产企业，深入实施腾笼换鸟工作，加快推动现有企业“零土地”技改、机器换人，努力提高生产效率。</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二是实施青田阀门百亿产业振兴行动。</w:t>
      </w:r>
      <w:r>
        <w:rPr>
          <w:rFonts w:hint="eastAsia" w:ascii="仿宋_GB2312" w:hAnsi="仿宋_GB2312" w:cs="仿宋_GB2312"/>
          <w:sz w:val="32"/>
          <w:szCs w:val="32"/>
        </w:rPr>
        <w:t>发挥核电阀门产业联盟、博士后工作站等产业链引领作用，突破产业关键共性技术，提升产业综合实力，拓宽产品范围，延伸产业链，提高产业辐射力和带动力，实现“百家企业百亿产值”目标，加快实现百亿级产业。</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三是加快推动精密阀门生态工业园区建设。</w:t>
      </w:r>
      <w:r>
        <w:rPr>
          <w:rFonts w:hint="eastAsia" w:ascii="仿宋_GB2312" w:hAnsi="仿宋_GB2312" w:cs="仿宋_GB2312"/>
          <w:sz w:val="32"/>
          <w:szCs w:val="32"/>
        </w:rPr>
        <w:t>围绕阀门生产中高能耗、污水处理要求高等特点，加强园区内企业污染排放管理，推进园区循环化改造，积极应用数字监测及治理技术，加强能源管理、环境监测和污染物控制，打造具有典型代表的生态工业园区。</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四是打造全国特色钼资源产业园。</w:t>
      </w:r>
      <w:r>
        <w:rPr>
          <w:rFonts w:hint="eastAsia" w:ascii="仿宋_GB2312" w:hAnsi="仿宋_GB2312" w:cs="仿宋_GB2312"/>
          <w:sz w:val="32"/>
          <w:szCs w:val="32"/>
        </w:rPr>
        <w:t>发挥高纯度钼矿资源优势，加快产学研步伐，加快钼产业链延伸，全面拓宽钼产业产品应用范围，发展钼基材料、钼合金等稀有金属系列产品，结合青田不锈钢产业发展基础，积极发展钼基合金、镍基合金等不锈钢材料。</w:t>
      </w:r>
    </w:p>
    <w:p>
      <w:pPr>
        <w:pStyle w:val="5"/>
        <w:keepNext w:val="0"/>
        <w:keepLines w:val="0"/>
        <w:tabs>
          <w:tab w:val="left" w:pos="3405"/>
        </w:tabs>
        <w:spacing w:line="560" w:lineRule="exact"/>
        <w:ind w:firstLine="643"/>
        <w:contextualSpacing/>
        <w:rPr>
          <w:rFonts w:ascii="仿宋_GB2312"/>
          <w:kern w:val="2"/>
          <w:szCs w:val="32"/>
          <w:shd w:val="clear" w:color="auto" w:fill="FFFFFF"/>
        </w:rPr>
      </w:pPr>
      <w:bookmarkStart w:id="39" w:name="_Hlk66981244"/>
      <w:r>
        <w:rPr>
          <w:rFonts w:hint="eastAsia" w:ascii="仿宋_GB2312"/>
          <w:kern w:val="2"/>
          <w:szCs w:val="32"/>
          <w:shd w:val="clear" w:color="auto" w:fill="FFFFFF"/>
        </w:rPr>
        <w:t>3、海口—祯埠工业园</w:t>
      </w:r>
    </w:p>
    <w:bookmarkEnd w:id="39"/>
    <w:p>
      <w:pPr>
        <w:pStyle w:val="40"/>
        <w:spacing w:line="560" w:lineRule="exact"/>
        <w:ind w:firstLine="643"/>
        <w:rPr>
          <w:rFonts w:ascii="仿宋_GB2312" w:eastAsia="仿宋_GB2312"/>
          <w:sz w:val="32"/>
        </w:rPr>
      </w:pPr>
      <w:r>
        <w:rPr>
          <w:rFonts w:hint="eastAsia" w:ascii="仿宋_GB2312" w:eastAsia="仿宋_GB2312"/>
          <w:sz w:val="32"/>
        </w:rPr>
        <w:t>（1）建设导向</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依托休闲椅产业发展基础，加快推广应用5</w:t>
      </w:r>
      <w:r>
        <w:rPr>
          <w:rFonts w:ascii="仿宋_GB2312" w:hAnsi="仿宋_GB2312" w:cs="仿宋_GB2312"/>
          <w:sz w:val="32"/>
          <w:szCs w:val="32"/>
        </w:rPr>
        <w:t>G</w:t>
      </w:r>
      <w:r>
        <w:rPr>
          <w:rFonts w:hint="eastAsia" w:ascii="仿宋_GB2312" w:hAnsi="仿宋_GB2312" w:cs="仿宋_GB2312"/>
          <w:sz w:val="32"/>
          <w:szCs w:val="32"/>
        </w:rPr>
        <w:t>、大数据、V</w:t>
      </w:r>
      <w:r>
        <w:rPr>
          <w:rFonts w:ascii="仿宋_GB2312" w:hAnsi="仿宋_GB2312" w:cs="仿宋_GB2312"/>
          <w:sz w:val="32"/>
          <w:szCs w:val="32"/>
        </w:rPr>
        <w:t>R</w:t>
      </w:r>
      <w:r>
        <w:rPr>
          <w:rFonts w:hint="eastAsia" w:ascii="仿宋_GB2312" w:hAnsi="仿宋_GB2312" w:cs="仿宋_GB2312"/>
          <w:sz w:val="32"/>
          <w:szCs w:val="32"/>
        </w:rPr>
        <w:t>等技术，开发智能家居产品，打造</w:t>
      </w:r>
      <w:r>
        <w:rPr>
          <w:rFonts w:hint="eastAsia" w:ascii="仿宋_GB2312" w:hAnsi="仿宋_GB2312" w:cs="仿宋_GB2312"/>
          <w:b/>
          <w:bCs/>
          <w:sz w:val="32"/>
          <w:szCs w:val="32"/>
        </w:rPr>
        <w:t>健康家居产业园</w:t>
      </w:r>
      <w:r>
        <w:rPr>
          <w:rFonts w:hint="eastAsia" w:ascii="仿宋_GB2312" w:hAnsi="仿宋_GB2312" w:cs="仿宋_GB2312"/>
          <w:sz w:val="32"/>
          <w:szCs w:val="32"/>
        </w:rPr>
        <w:t>。充分发挥青田水力资源优势，合理开发，重点引进太阳能光伏等新能源产业项目，破解高端不锈钢、精密阀门产业发展的能源等要素难题，打造</w:t>
      </w:r>
      <w:r>
        <w:rPr>
          <w:rFonts w:hint="eastAsia" w:ascii="仿宋_GB2312" w:hAnsi="仿宋_GB2312" w:cs="仿宋_GB2312"/>
          <w:b/>
          <w:bCs/>
          <w:sz w:val="32"/>
          <w:szCs w:val="32"/>
        </w:rPr>
        <w:t>绿色能源供应特色基地</w:t>
      </w:r>
      <w:r>
        <w:rPr>
          <w:rFonts w:hint="eastAsia" w:ascii="仿宋_GB2312" w:hAnsi="仿宋_GB2312" w:cs="仿宋_GB2312"/>
          <w:sz w:val="32"/>
          <w:szCs w:val="32"/>
        </w:rPr>
        <w:t>。</w:t>
      </w:r>
    </w:p>
    <w:p>
      <w:pPr>
        <w:pStyle w:val="40"/>
        <w:spacing w:line="560" w:lineRule="exact"/>
        <w:ind w:firstLine="643"/>
        <w:rPr>
          <w:rFonts w:ascii="仿宋_GB2312" w:eastAsia="仿宋_GB2312"/>
          <w:sz w:val="32"/>
        </w:rPr>
      </w:pPr>
      <w:r>
        <w:rPr>
          <w:rFonts w:hint="eastAsia" w:ascii="仿宋_GB2312" w:eastAsia="仿宋_GB2312"/>
          <w:sz w:val="32"/>
        </w:rPr>
        <w:t>（2）空间规划</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整合优化海口工业园和祯埠工业园区，园区规划总面积</w:t>
      </w:r>
      <w:r>
        <w:rPr>
          <w:rFonts w:ascii="仿宋_GB2312" w:hAnsi="仿宋_GB2312" w:cs="仿宋_GB2312"/>
          <w:sz w:val="32"/>
          <w:szCs w:val="32"/>
        </w:rPr>
        <w:t>500</w:t>
      </w:r>
      <w:r>
        <w:rPr>
          <w:rFonts w:hint="eastAsia" w:ascii="仿宋_GB2312" w:hAnsi="仿宋_GB2312" w:cs="仿宋_GB2312"/>
          <w:sz w:val="32"/>
          <w:szCs w:val="32"/>
        </w:rPr>
        <w:t>亩，其中已出让工业用地</w:t>
      </w:r>
      <w:r>
        <w:rPr>
          <w:rFonts w:ascii="仿宋_GB2312" w:hAnsi="仿宋_GB2312" w:cs="仿宋_GB2312"/>
          <w:sz w:val="32"/>
          <w:szCs w:val="32"/>
        </w:rPr>
        <w:t>167</w:t>
      </w:r>
      <w:r>
        <w:rPr>
          <w:rFonts w:hint="eastAsia" w:ascii="仿宋_GB2312" w:hAnsi="仿宋_GB2312" w:cs="仿宋_GB2312"/>
          <w:sz w:val="32"/>
          <w:szCs w:val="32"/>
        </w:rPr>
        <w:t>亩（均在祯埠），拟开发工业用地</w:t>
      </w:r>
      <w:r>
        <w:rPr>
          <w:rFonts w:ascii="仿宋_GB2312" w:hAnsi="仿宋_GB2312" w:cs="仿宋_GB2312"/>
          <w:sz w:val="32"/>
          <w:szCs w:val="32"/>
        </w:rPr>
        <w:t>340</w:t>
      </w:r>
      <w:r>
        <w:rPr>
          <w:rFonts w:hint="eastAsia" w:ascii="仿宋_GB2312" w:hAnsi="仿宋_GB2312" w:cs="仿宋_GB2312"/>
          <w:sz w:val="32"/>
          <w:szCs w:val="32"/>
        </w:rPr>
        <w:t>亩。</w:t>
      </w:r>
    </w:p>
    <w:p>
      <w:pPr>
        <w:pStyle w:val="40"/>
        <w:spacing w:line="560" w:lineRule="exact"/>
        <w:ind w:firstLine="643"/>
        <w:rPr>
          <w:rFonts w:ascii="仿宋_GB2312" w:eastAsia="仿宋_GB2312"/>
          <w:sz w:val="32"/>
        </w:rPr>
      </w:pPr>
      <w:r>
        <w:rPr>
          <w:rFonts w:hint="eastAsia" w:ascii="仿宋_GB2312" w:eastAsia="仿宋_GB2312"/>
          <w:sz w:val="32"/>
        </w:rPr>
        <w:t>（3）重点举措</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一是加快培育亿元级健康休闲企业。</w:t>
      </w:r>
      <w:r>
        <w:rPr>
          <w:rFonts w:hint="eastAsia" w:ascii="仿宋_GB2312" w:hAnsi="仿宋_GB2312" w:cs="仿宋_GB2312"/>
          <w:sz w:val="32"/>
          <w:szCs w:val="32"/>
        </w:rPr>
        <w:t>深入实施“雏鹰行动”，延伸按摩椅、游乐产业链，实现从单打冠军向产业领军发展，打造形成完整的健康产业体系。</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二是积极打造健康家居产业园。</w:t>
      </w:r>
      <w:r>
        <w:rPr>
          <w:rFonts w:hint="eastAsia" w:ascii="仿宋_GB2312" w:hAnsi="仿宋_GB2312" w:cs="仿宋_GB2312"/>
          <w:sz w:val="32"/>
          <w:szCs w:val="32"/>
        </w:rPr>
        <w:t>拓展健康休闲产业边界，打通产业间的通道，加快推进小河坑休闲椅文创园园区建设，强化家居用品的绿色环保、节能降耗、智能高效以及美观舒适性，集聚一批时尚家具、家电、厨具、工艺美术品及家用纺织品生产企业。</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三是加快推动项目招引与落地。</w:t>
      </w:r>
      <w:r>
        <w:rPr>
          <w:rFonts w:hint="eastAsia" w:ascii="仿宋_GB2312" w:hAnsi="仿宋_GB2312" w:cs="仿宋_GB2312"/>
          <w:sz w:val="32"/>
          <w:szCs w:val="32"/>
        </w:rPr>
        <w:t>园区内全面实施工业用地“标准地”供地；狠抓项目落地关键环节，新招商项目严把关、新建项目抓开工、在建项目抓进度，项目落地抓产出。</w:t>
      </w:r>
      <w:r>
        <w:rPr>
          <w:rFonts w:hint="eastAsia" w:ascii="仿宋_GB2312"/>
          <w:sz w:val="32"/>
          <w:szCs w:val="32"/>
        </w:rPr>
        <w:t>创新项目跟踪评估制度，实行每个项目专人负责制，针对项目特点落实分类管理措施。</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四是培育发展绿色水电产业。</w:t>
      </w:r>
      <w:r>
        <w:rPr>
          <w:rFonts w:hint="eastAsia" w:ascii="仿宋_GB2312" w:hAnsi="仿宋_GB2312" w:cs="仿宋_GB2312"/>
          <w:sz w:val="32"/>
          <w:szCs w:val="32"/>
        </w:rPr>
        <w:t>持续推进小水电绿色改造工程，完成青田水利枢纽等项目主体建设规划，谋划建设抽水蓄能电站，加快引进太阳能光伏等重点绿色能源项目。</w:t>
      </w:r>
    </w:p>
    <w:p>
      <w:pPr>
        <w:pStyle w:val="5"/>
        <w:keepNext w:val="0"/>
        <w:keepLines w:val="0"/>
        <w:tabs>
          <w:tab w:val="left" w:pos="3405"/>
        </w:tabs>
        <w:spacing w:line="560" w:lineRule="exact"/>
        <w:ind w:firstLine="643"/>
        <w:contextualSpacing/>
        <w:rPr>
          <w:rFonts w:ascii="仿宋_GB2312"/>
          <w:kern w:val="2"/>
          <w:szCs w:val="32"/>
          <w:shd w:val="clear" w:color="auto" w:fill="FFFFFF"/>
        </w:rPr>
      </w:pPr>
      <w:bookmarkStart w:id="40" w:name="_Hlk66981253"/>
      <w:r>
        <w:rPr>
          <w:rFonts w:hint="eastAsia" w:ascii="仿宋_GB2312"/>
          <w:kern w:val="2"/>
          <w:szCs w:val="32"/>
          <w:shd w:val="clear" w:color="auto" w:fill="FFFFFF"/>
        </w:rPr>
        <w:t>4、腊口北坑-大坑工业园</w:t>
      </w:r>
    </w:p>
    <w:bookmarkEnd w:id="40"/>
    <w:p>
      <w:pPr>
        <w:pStyle w:val="40"/>
        <w:spacing w:line="560" w:lineRule="exact"/>
        <w:ind w:firstLine="643"/>
        <w:rPr>
          <w:rFonts w:ascii="仿宋_GB2312" w:eastAsia="仿宋_GB2312"/>
          <w:sz w:val="32"/>
        </w:rPr>
      </w:pPr>
      <w:r>
        <w:rPr>
          <w:rFonts w:hint="eastAsia" w:ascii="仿宋_GB2312" w:eastAsia="仿宋_GB2312"/>
          <w:sz w:val="32"/>
        </w:rPr>
        <w:t>（1）建设导向</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以装备制造业、家具制造业、农副产品加工业为基础，加快推进新材料产业创新设计平台等重点平台，打造</w:t>
      </w:r>
      <w:r>
        <w:rPr>
          <w:rFonts w:hint="eastAsia" w:ascii="仿宋_GB2312" w:hAnsi="仿宋_GB2312" w:cs="仿宋_GB2312"/>
          <w:b/>
          <w:bCs/>
          <w:sz w:val="32"/>
          <w:szCs w:val="32"/>
        </w:rPr>
        <w:t>新材料产业园</w:t>
      </w:r>
      <w:r>
        <w:rPr>
          <w:rFonts w:hint="eastAsia" w:ascii="仿宋_GB2312" w:hAnsi="仿宋_GB2312" w:cs="仿宋_GB2312"/>
          <w:sz w:val="32"/>
          <w:szCs w:val="32"/>
        </w:rPr>
        <w:t>。</w:t>
      </w:r>
    </w:p>
    <w:p>
      <w:pPr>
        <w:pStyle w:val="40"/>
        <w:spacing w:line="560" w:lineRule="exact"/>
        <w:ind w:firstLine="643"/>
        <w:rPr>
          <w:rFonts w:ascii="仿宋_GB2312" w:eastAsia="仿宋_GB2312"/>
          <w:sz w:val="32"/>
        </w:rPr>
      </w:pPr>
      <w:r>
        <w:rPr>
          <w:rFonts w:hint="eastAsia" w:ascii="仿宋_GB2312" w:eastAsia="仿宋_GB2312"/>
          <w:sz w:val="32"/>
        </w:rPr>
        <w:t>（2）空间规划</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以腊口工业园为中心，整合优化石塔、大坑-北坑、武埠、青竹等工业区块，园区规划</w:t>
      </w:r>
      <w:r>
        <w:rPr>
          <w:rFonts w:ascii="仿宋_GB2312" w:hAnsi="仿宋_GB2312" w:cs="仿宋_GB2312"/>
          <w:sz w:val="32"/>
          <w:szCs w:val="32"/>
        </w:rPr>
        <w:t>5.31</w:t>
      </w:r>
      <w:r>
        <w:rPr>
          <w:rFonts w:hint="eastAsia" w:ascii="仿宋_GB2312" w:hAnsi="仿宋_GB2312" w:cs="仿宋_GB2312"/>
          <w:sz w:val="32"/>
          <w:szCs w:val="32"/>
        </w:rPr>
        <w:t>平方米，近期规划新增5</w:t>
      </w:r>
      <w:r>
        <w:rPr>
          <w:rFonts w:ascii="仿宋_GB2312" w:hAnsi="仿宋_GB2312" w:cs="仿宋_GB2312"/>
          <w:sz w:val="32"/>
          <w:szCs w:val="32"/>
        </w:rPr>
        <w:t>00</w:t>
      </w:r>
      <w:r>
        <w:rPr>
          <w:rFonts w:hint="eastAsia" w:ascii="仿宋_GB2312" w:hAnsi="仿宋_GB2312" w:cs="仿宋_GB2312"/>
          <w:sz w:val="32"/>
          <w:szCs w:val="32"/>
        </w:rPr>
        <w:t>亩工业用地。</w:t>
      </w:r>
    </w:p>
    <w:p>
      <w:pPr>
        <w:pStyle w:val="12"/>
        <w:ind w:firstLine="0" w:firstLineChars="0"/>
        <w:jc w:val="center"/>
      </w:pPr>
      <w:r>
        <w:drawing>
          <wp:inline distT="0" distB="0" distL="0" distR="0">
            <wp:extent cx="5274310" cy="26289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a:extLst>
                        <a:ext uri="{28A0092B-C50C-407E-A947-70E740481C1C}">
                          <a14:useLocalDpi xmlns:a14="http://schemas.microsoft.com/office/drawing/2010/main" val="0"/>
                        </a:ext>
                      </a:extLst>
                    </a:blip>
                    <a:srcRect t="21010" b="18588"/>
                    <a:stretch>
                      <a:fillRect/>
                    </a:stretch>
                  </pic:blipFill>
                  <pic:spPr>
                    <a:xfrm>
                      <a:off x="0" y="0"/>
                      <a:ext cx="5274310" cy="2628900"/>
                    </a:xfrm>
                    <a:prstGeom prst="rect">
                      <a:avLst/>
                    </a:prstGeom>
                    <a:noFill/>
                    <a:ln>
                      <a:noFill/>
                    </a:ln>
                  </pic:spPr>
                </pic:pic>
              </a:graphicData>
            </a:graphic>
          </wp:inline>
        </w:drawing>
      </w:r>
    </w:p>
    <w:p>
      <w:pPr>
        <w:pStyle w:val="33"/>
        <w:pBdr>
          <w:top w:val="none" w:color="auto" w:sz="0" w:space="0"/>
          <w:left w:val="none" w:color="auto" w:sz="0" w:space="0"/>
          <w:bottom w:val="none" w:color="auto" w:sz="0" w:space="0"/>
          <w:right w:val="none" w:color="auto" w:sz="0" w:space="0"/>
        </w:pBdr>
        <w:spacing w:after="204"/>
        <w:ind w:firstLine="602"/>
      </w:pPr>
      <w:r>
        <w:rPr>
          <w:rFonts w:hint="eastAsia"/>
        </w:rPr>
        <w:t>图</w:t>
      </w:r>
      <w:r>
        <w:t xml:space="preserve">4-3 </w:t>
      </w:r>
      <w:r>
        <w:rPr>
          <w:rFonts w:hint="eastAsia"/>
        </w:rPr>
        <w:t>青田县腊口北坑-大坑工业园示意图</w:t>
      </w:r>
    </w:p>
    <w:p>
      <w:pPr>
        <w:pStyle w:val="40"/>
        <w:spacing w:line="560" w:lineRule="exact"/>
        <w:ind w:firstLine="643"/>
        <w:rPr>
          <w:rFonts w:ascii="仿宋_GB2312" w:eastAsia="仿宋_GB2312"/>
          <w:sz w:val="32"/>
        </w:rPr>
      </w:pPr>
      <w:r>
        <w:rPr>
          <w:rFonts w:hint="eastAsia" w:ascii="仿宋_GB2312" w:eastAsia="仿宋_GB2312"/>
          <w:sz w:val="32"/>
        </w:rPr>
        <w:t>（3）重点举措</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一是加快推进绿色企业认证。</w:t>
      </w:r>
      <w:r>
        <w:rPr>
          <w:rFonts w:hint="eastAsia" w:ascii="仿宋_GB2312" w:hAnsi="仿宋_GB2312" w:cs="仿宋_GB2312"/>
          <w:sz w:val="32"/>
          <w:szCs w:val="32"/>
        </w:rPr>
        <w:t>推广清洁生产、绿色认证、节水型企业，培育循环经济示范企业。完善落后和过剩产能市场化退出机制，加快低效企业整治提升步伐，全力提高制造业企业的生产效益。</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二是推进小微企业园建设。</w:t>
      </w:r>
      <w:r>
        <w:rPr>
          <w:rFonts w:hint="eastAsia" w:ascii="仿宋_GB2312" w:hAnsi="仿宋_GB2312" w:cs="仿宋_GB2312"/>
          <w:sz w:val="32"/>
          <w:szCs w:val="32"/>
        </w:rPr>
        <w:t>推动工业用地闲置空间（土地、厂房）盘活，加快低效用地再开发。加快小微企业园建设，争取纳入省认定小微企业园管理，推动已建小微企业园高质量发展，创建高效益的星级示范小微园。</w:t>
      </w:r>
    </w:p>
    <w:p>
      <w:pPr>
        <w:pStyle w:val="4"/>
        <w:spacing w:line="560" w:lineRule="exact"/>
        <w:ind w:firstLine="602"/>
        <w:contextualSpacing/>
        <w:rPr>
          <w:rFonts w:ascii="楷体_GB2312" w:eastAsia="楷体_GB2312"/>
          <w:color w:val="000000"/>
        </w:rPr>
      </w:pPr>
      <w:bookmarkStart w:id="41" w:name="_Toc18712"/>
      <w:r>
        <w:rPr>
          <w:rFonts w:hint="eastAsia" w:ascii="楷体_GB2312" w:eastAsia="楷体_GB2312"/>
          <w:color w:val="000000"/>
        </w:rPr>
        <w:t>（三）实施路径</w:t>
      </w:r>
      <w:bookmarkEnd w:id="41"/>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一要向山地要空间。</w:t>
      </w:r>
      <w:r>
        <w:rPr>
          <w:rFonts w:hint="eastAsia" w:ascii="仿宋_GB2312" w:hAnsi="仿宋_GB2312" w:cs="仿宋_GB2312"/>
          <w:sz w:val="32"/>
          <w:szCs w:val="32"/>
        </w:rPr>
        <w:t>以国土空间总体规划编制为契机，抓住“大过境”等建设机遇，及时调整区块规划，集全县之力推进平台“二次创业”。聚焦温溪桥头寺下、船寮赤岩白岸、东源项村、高湖下济坑、海口高沙、祯埠小河坑、腊口大坑等重点区块，启动实施新一轮工业用地开发计划。强化规划引领，高层次、大格局、全方位的编制好平台建设的空间规划，同步为平台的可持续发展考虑周边三产配套的空间布局。</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二要向高层要空间。</w:t>
      </w:r>
      <w:r>
        <w:rPr>
          <w:rFonts w:hint="eastAsia" w:ascii="仿宋_GB2312" w:hAnsi="仿宋_GB2312" w:cs="仿宋_GB2312"/>
          <w:sz w:val="32"/>
          <w:szCs w:val="32"/>
        </w:rPr>
        <w:t>全面实施容积率1.0以下的低效厂区整治，有序提高工业厂区建设密度，在符合规划、不改变用途、守住安全等底线的前提下，支持企业在现有工业用地上新建、扩建自用生产性用房，对容积率达到省市相关行业标准以上的，通过验收后给予新增生产性用房一定金额的补助。鼓励开发区、产业集聚区规划建设多层工业厂房，供中小企业进行生产、研发、设计、经营多功能复合利用，引导企业上楼发展，提升工业用地的投资/开发强度，使有限的产业空间得以最大化利用。</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三要向低效要空间。</w:t>
      </w:r>
      <w:r>
        <w:rPr>
          <w:rFonts w:hint="eastAsia" w:ascii="仿宋_GB2312" w:hAnsi="仿宋_GB2312" w:cs="仿宋_GB2312"/>
          <w:sz w:val="32"/>
          <w:szCs w:val="32"/>
        </w:rPr>
        <w:t>以“亩均论英雄”改革为抓手，严格落实用地、用电、用气等资源要素差别化政策，特别是加大对“供而未用”“用而未尽”“建而未投”“投而未达标”等土地的整治力度，大力推进亩均税收1万元以下的低效企业整治，力争每年盘活低效用地100亩以上。深入开展土地全域综合治理，实施“土地整治+”模式，实现土地整治效益的最大化，延长土地整治产业链、价值链和生态链，为生态工业发展腾出空间。</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四要向技改要空间。</w:t>
      </w:r>
      <w:r>
        <w:rPr>
          <w:rFonts w:hint="eastAsia" w:ascii="仿宋_GB2312" w:hAnsi="仿宋_GB2312" w:cs="仿宋_GB2312"/>
          <w:sz w:val="32"/>
          <w:szCs w:val="32"/>
        </w:rPr>
        <w:t>深入实施腾笼换鸟工作，加快推动现有企业“零土地”技改、机器换人，努力提高生产效率。继续深化省制鞋业机器换人试点县，积极在时尚鞋服、阀门等行业开展 “机器换人”，鼓励龙头企业积极应用智能化制造装备，推进生产线数字化改造，建设自动化车间和智能工厂，大力推进传统产业“智能制造”。借助入评省小微园建设提升重点县等改革试点契机，稳步推进小微企业园建设工作，与传统制造业改造提升有机结合。</w:t>
      </w:r>
    </w:p>
    <w:p>
      <w:pPr>
        <w:spacing w:line="560" w:lineRule="exact"/>
        <w:ind w:firstLine="643"/>
        <w:rPr>
          <w:rFonts w:ascii="仿宋_GB2312" w:hAnsi="仿宋_GB2312" w:cs="仿宋_GB2312"/>
          <w:sz w:val="32"/>
          <w:szCs w:val="32"/>
        </w:rPr>
      </w:pPr>
      <w:r>
        <w:rPr>
          <w:rFonts w:hint="eastAsia" w:ascii="仿宋_GB2312" w:hAnsi="仿宋_GB2312" w:cs="仿宋_GB2312"/>
          <w:b/>
          <w:bCs/>
          <w:sz w:val="32"/>
          <w:szCs w:val="32"/>
        </w:rPr>
        <w:t>五要向飞地要空间。</w:t>
      </w:r>
      <w:r>
        <w:rPr>
          <w:rFonts w:hint="eastAsia" w:ascii="仿宋_GB2312" w:hAnsi="仿宋_GB2312" w:cs="仿宋_GB2312"/>
          <w:sz w:val="32"/>
          <w:szCs w:val="32"/>
        </w:rPr>
        <w:t>积极融入长三角一体化发展战略，探索以产业链协同创新为重点的山海协作新模式，积极在上海、深圳、杭州等地建设一批人才飞地，形成科研销售在飞地、智能制造在青田的山区工业新模式。发挥“山”“海”资源优势，深入推进平湖青田山海协作飞地产业园建设，协同推进浙西南科创中心建设，谋划设立科创中心、科技孵化器、海外创新孵化中心等，打造科创飞地平台。</w:t>
      </w:r>
      <w:bookmarkStart w:id="42" w:name="_Toc25205"/>
      <w:bookmarkStart w:id="43" w:name="_Toc28375"/>
      <w:r>
        <w:rPr>
          <w:rFonts w:hint="eastAsia" w:ascii="仿宋_GB2312" w:hAnsi="仿宋_GB2312" w:cs="仿宋_GB2312"/>
          <w:sz w:val="32"/>
          <w:szCs w:val="32"/>
        </w:rPr>
        <w:t>按照“飞地共建、资源共享、运营共管、孵化共育”原则，以“科技创新孵化、产业招商培育”为重点，全方位对接发达地区人才、技术、资金、信息等要素，实现多层次互补共赢、多方位创新交流、多领域对接协作。</w:t>
      </w:r>
    </w:p>
    <w:bookmarkEnd w:id="42"/>
    <w:bookmarkEnd w:id="43"/>
    <w:p>
      <w:pPr>
        <w:pStyle w:val="29"/>
        <w:spacing w:line="560" w:lineRule="exact"/>
        <w:ind w:firstLine="600"/>
        <w:rPr>
          <w:rFonts w:ascii="黑体" w:hAnsi="黑体"/>
          <w:color w:val="000000"/>
          <w:szCs w:val="32"/>
        </w:rPr>
        <w:sectPr>
          <w:pgSz w:w="11906" w:h="16838"/>
          <w:pgMar w:top="1440" w:right="1800" w:bottom="1440" w:left="1800" w:header="851" w:footer="992" w:gutter="0"/>
          <w:cols w:space="425" w:num="1"/>
          <w:docGrid w:type="lines" w:linePitch="408" w:charSpace="0"/>
        </w:sectPr>
      </w:pPr>
      <w:bookmarkStart w:id="44" w:name="_Hlk66978172"/>
    </w:p>
    <w:p>
      <w:pPr>
        <w:pStyle w:val="29"/>
        <w:spacing w:line="560" w:lineRule="exact"/>
        <w:ind w:firstLine="0" w:firstLineChars="0"/>
        <w:rPr>
          <w:rFonts w:ascii="黑体" w:hAnsi="黑体"/>
          <w:color w:val="000000"/>
          <w:szCs w:val="32"/>
        </w:rPr>
      </w:pPr>
      <w:bookmarkStart w:id="45" w:name="_Toc5485"/>
      <w:r>
        <w:rPr>
          <w:rFonts w:hint="eastAsia" w:ascii="黑体" w:hAnsi="黑体"/>
          <w:color w:val="000000"/>
          <w:szCs w:val="32"/>
        </w:rPr>
        <w:t>五、重点任务</w:t>
      </w:r>
      <w:bookmarkEnd w:id="45"/>
    </w:p>
    <w:p>
      <w:pPr>
        <w:pStyle w:val="4"/>
        <w:spacing w:line="560" w:lineRule="exact"/>
        <w:ind w:firstLine="602"/>
        <w:contextualSpacing/>
        <w:rPr>
          <w:rFonts w:ascii="楷体_GB2312" w:eastAsia="楷体_GB2312"/>
          <w:color w:val="000000"/>
        </w:rPr>
      </w:pPr>
      <w:bookmarkStart w:id="46" w:name="_Toc27004"/>
      <w:r>
        <w:rPr>
          <w:rFonts w:hint="eastAsia" w:ascii="楷体_GB2312" w:eastAsia="楷体_GB2312"/>
          <w:color w:val="000000"/>
        </w:rPr>
        <w:t>（一）精准</w:t>
      </w:r>
      <w:r>
        <w:rPr>
          <w:rFonts w:hint="eastAsia" w:ascii="楷体_GB2312" w:eastAsia="楷体_GB2312"/>
          <w:color w:val="000000"/>
          <w:lang w:val="en-US" w:eastAsia="zh-CN"/>
        </w:rPr>
        <w:t>招引</w:t>
      </w:r>
      <w:r>
        <w:rPr>
          <w:rFonts w:hint="eastAsia" w:ascii="楷体_GB2312" w:eastAsia="楷体_GB2312"/>
          <w:color w:val="000000"/>
        </w:rPr>
        <w:t>工程</w:t>
      </w:r>
      <w:bookmarkEnd w:id="46"/>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全面实施“双招双引”产业精准招商工程，着力培育一大电竞未来产业，新引进以艾玛电动车为龙头的智能出行和食药机械制造产业（包括咖啡产业），拉长三大现有的时尚休闲、高端不锈钢、智控阀门产业链，加快招引一批产业链补链、壮链、延链项目。</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1、培育以电竞为代表的数字经济产业</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重点招引数字产业和工业互联网重点项目。数字产业。重点引入高性能监测设备制造、电子元器件、5</w:t>
      </w:r>
      <w:r>
        <w:rPr>
          <w:rFonts w:ascii="仿宋_GB2312" w:hAnsi="仿宋_GB2312" w:cs="仿宋_GB2312"/>
          <w:sz w:val="32"/>
          <w:szCs w:val="32"/>
        </w:rPr>
        <w:t>G</w:t>
      </w:r>
      <w:r>
        <w:rPr>
          <w:rFonts w:hint="eastAsia" w:ascii="仿宋_GB2312" w:hAnsi="仿宋_GB2312" w:cs="仿宋_GB2312"/>
          <w:sz w:val="32"/>
          <w:szCs w:val="32"/>
        </w:rPr>
        <w:t>通讯、人工智能和生态数据企业。重点培育高精度电度表、数字电网监测表、高精度电阻测量仪器、分流器、仪用互感器等监测设备装置；加快研发量大面广的移动智能终端芯片、数字电视芯片、网络通信芯片、智能穿戴设备芯片及操作系统，培育光器件、射频器件、终端天线、滤波器等高性能化电子元器件产品，促进相关服务系统和高性能芯片的研发落地；重点培育接入设备、交换设备、传输设备和宏基站及小微基站配套产品，加快极速无线射频芯片、量子态信息隐形传输、可见光通讯等设备与产品的开发，进而培育数字程控交换技术、光纤通信、卫星通信、智能终端等领域的下游衍生产品；加快人工智能领域基础层硬件、传感器的产品研发和算法开发，重点引进技术层的计算机视觉、自然语言处理（N</w:t>
      </w:r>
      <w:r>
        <w:rPr>
          <w:rFonts w:ascii="仿宋_GB2312" w:hAnsi="仿宋_GB2312" w:cs="仿宋_GB2312"/>
          <w:sz w:val="32"/>
          <w:szCs w:val="32"/>
        </w:rPr>
        <w:t>LP</w:t>
      </w:r>
      <w:r>
        <w:rPr>
          <w:rFonts w:hint="eastAsia" w:ascii="仿宋_GB2312" w:hAnsi="仿宋_GB2312" w:cs="仿宋_GB2312"/>
          <w:sz w:val="32"/>
          <w:szCs w:val="32"/>
        </w:rPr>
        <w:t>）、机器学习和语音识别相关技术。 工业互联网。重点引入工业互联网平台和工业软件研发企业。加快研发贯穿设计、制造、管理全流程的工业流程软件和嵌入式</w:t>
      </w:r>
      <w:r>
        <w:rPr>
          <w:rFonts w:ascii="仿宋_GB2312" w:hAnsi="仿宋_GB2312" w:cs="仿宋_GB2312"/>
          <w:sz w:val="32"/>
          <w:szCs w:val="32"/>
        </w:rPr>
        <w:t>软件，提升全</w:t>
      </w:r>
      <w:r>
        <w:rPr>
          <w:rFonts w:hint="eastAsia" w:ascii="仿宋_GB2312" w:hAnsi="仿宋_GB2312" w:cs="仿宋_GB2312"/>
          <w:sz w:val="32"/>
          <w:szCs w:val="32"/>
        </w:rPr>
        <w:t>生产</w:t>
      </w:r>
      <w:r>
        <w:rPr>
          <w:rFonts w:ascii="仿宋_GB2312" w:hAnsi="仿宋_GB2312" w:cs="仿宋_GB2312"/>
          <w:sz w:val="32"/>
          <w:szCs w:val="32"/>
        </w:rPr>
        <w:t>周期的信息化水平</w:t>
      </w:r>
      <w:r>
        <w:rPr>
          <w:rFonts w:hint="eastAsia" w:ascii="仿宋_GB2312" w:hAnsi="仿宋_GB2312" w:cs="仿宋_GB2312"/>
          <w:sz w:val="32"/>
          <w:szCs w:val="32"/>
        </w:rPr>
        <w:t>；重点研发</w:t>
      </w:r>
      <w:r>
        <w:rPr>
          <w:rFonts w:ascii="仿宋_GB2312" w:hAnsi="仿宋_GB2312" w:cs="仿宋_GB2312"/>
          <w:sz w:val="32"/>
          <w:szCs w:val="32"/>
        </w:rPr>
        <w:t>操作系统等基础软件，</w:t>
      </w:r>
      <w:r>
        <w:rPr>
          <w:rFonts w:hint="eastAsia" w:ascii="仿宋_GB2312" w:hAnsi="仿宋_GB2312" w:cs="仿宋_GB2312"/>
          <w:sz w:val="32"/>
          <w:szCs w:val="32"/>
        </w:rPr>
        <w:t>培育</w:t>
      </w:r>
      <w:r>
        <w:rPr>
          <w:rFonts w:ascii="仿宋_GB2312" w:hAnsi="仿宋_GB2312" w:cs="仿宋_GB2312"/>
          <w:sz w:val="32"/>
          <w:szCs w:val="32"/>
        </w:rPr>
        <w:t>工业控制、信息安全等行业应用软件，</w:t>
      </w:r>
      <w:r>
        <w:rPr>
          <w:rFonts w:hint="eastAsia" w:ascii="仿宋_GB2312" w:hAnsi="仿宋_GB2312" w:cs="仿宋_GB2312"/>
          <w:sz w:val="32"/>
          <w:szCs w:val="32"/>
        </w:rPr>
        <w:t>形成</w:t>
      </w:r>
      <w:r>
        <w:rPr>
          <w:rFonts w:ascii="仿宋_GB2312" w:hAnsi="仿宋_GB2312" w:cs="仿宋_GB2312"/>
          <w:sz w:val="32"/>
          <w:szCs w:val="32"/>
        </w:rPr>
        <w:t>信息系统集成服务、信息技术咨询和应用服务、设计开发服务等信息增值服务</w:t>
      </w:r>
      <w:r>
        <w:rPr>
          <w:rFonts w:hint="eastAsia" w:ascii="仿宋_GB2312" w:hAnsi="仿宋_GB2312" w:cs="仿宋_GB2312"/>
          <w:sz w:val="32"/>
          <w:szCs w:val="32"/>
        </w:rPr>
        <w:t>业务线；</w:t>
      </w:r>
      <w:r>
        <w:rPr>
          <w:rFonts w:ascii="仿宋_GB2312" w:hAnsi="仿宋_GB2312" w:cs="仿宋_GB2312"/>
          <w:sz w:val="32"/>
          <w:szCs w:val="32"/>
        </w:rPr>
        <w:t>推动工业软件、数据管理、工程服务等资源开放共享，</w:t>
      </w:r>
      <w:r>
        <w:rPr>
          <w:rFonts w:hint="eastAsia" w:ascii="仿宋_GB2312" w:hAnsi="仿宋_GB2312" w:cs="仿宋_GB2312"/>
          <w:sz w:val="32"/>
          <w:szCs w:val="32"/>
        </w:rPr>
        <w:t>加快培育云平台产品，深化工业互联网平台应用</w:t>
      </w:r>
      <w:r>
        <w:rPr>
          <w:rFonts w:ascii="仿宋_GB2312" w:hAnsi="仿宋_GB2312" w:cs="仿宋_GB2312"/>
          <w:sz w:val="32"/>
          <w:szCs w:val="32"/>
        </w:rPr>
        <w:t>。</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2、引进智能出行和食药机械制造产业</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一是培育绿色新能源及机车制造产业。水电产业。重点引进水电相关装备、服务配套企业。加快研发冲击式水轮机、变速抽水蓄能机组等关键产品，培育主变压器、调速器、励磁、监控系统、输变电、起重设备等优势水电设备，提升水电能源产业工程建设水平。光伏产业。重点引进光伏发电核心部件和专用设备制造、晶硅电池制造及上下游配套领先企业。重点研发清洁安全、低能耗、高纯度的电池片与组件生产技术，加强低反射率的绒面制备技术、选择性发射极技术及电极对准技术等的开发应用，加快培育高效多晶硅锭、</w:t>
      </w:r>
      <w:r>
        <w:rPr>
          <w:rFonts w:ascii="仿宋_GB2312" w:hAnsi="仿宋_GB2312" w:cs="仿宋_GB2312"/>
          <w:sz w:val="32"/>
          <w:szCs w:val="32"/>
        </w:rPr>
        <w:t>400MW切片</w:t>
      </w:r>
      <w:r>
        <w:rPr>
          <w:rFonts w:hint="eastAsia" w:ascii="仿宋_GB2312" w:hAnsi="仿宋_GB2312" w:cs="仿宋_GB2312"/>
          <w:sz w:val="32"/>
          <w:szCs w:val="32"/>
        </w:rPr>
        <w:t>、高转换率、长寿命、高性价比电池片、非晶与微晶相结合的叠层和多结薄膜电池等产品；完善配套产业建设，重点引进大功率逆变器、控制器、蓄电池、光伏玻璃、光伏系统平衡装置、电池生产辅助材料，加快建设光伏应用系统检测、认证等公共服务平台，形成以晶体硅原料制备、电池制备、光伏组件、配套成品、光伏系统应用与服务的产业链。机车制造。重点引进锂电池制造、电动二轮车制造和具备智能制造关键技术的领先企业。加快研发储能技术、混合动力技术等核心技术，加快培育碳纳米管和石墨烯导电剂等锂电池关键辅料产品；加快研发自动化工艺装备与工业物联网平台、边缘计算及机器视觉技术，建设机车制造“未来工厂”；加快培育自有数据中心，培育在生产制造、厂内配送、车辆调度、排程调度、车辆配载、仓储管理、供应商协同、运营管理等环节的智能应用软硬件产品，全面提升智能制造产业链发展水平。</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二是培育食药机械制造产业。医疗器械。</w:t>
      </w:r>
      <w:r>
        <w:rPr>
          <w:rFonts w:ascii="仿宋_GB2312" w:hAnsi="仿宋_GB2312" w:cs="仿宋_GB2312"/>
          <w:sz w:val="32"/>
          <w:szCs w:val="32"/>
        </w:rPr>
        <w:t>重点研发具备耐腐蚀性的304不锈钢、具备</w:t>
      </w:r>
      <w:r>
        <w:rPr>
          <w:rFonts w:hint="eastAsia" w:ascii="仿宋_GB2312" w:hAnsi="仿宋_GB2312" w:cs="仿宋_GB2312"/>
          <w:sz w:val="32"/>
          <w:szCs w:val="32"/>
        </w:rPr>
        <w:t>耐高温强度的</w:t>
      </w:r>
      <w:r>
        <w:rPr>
          <w:rFonts w:ascii="仿宋_GB2312" w:hAnsi="仿宋_GB2312" w:cs="仿宋_GB2312"/>
          <w:sz w:val="32"/>
          <w:szCs w:val="32"/>
        </w:rPr>
        <w:t>316不锈钢和马氏体不锈钢、铁素体不锈钢等高性能医疗器械用不锈钢产品。</w:t>
      </w:r>
      <w:r>
        <w:rPr>
          <w:rFonts w:hint="eastAsia" w:ascii="仿宋_GB2312" w:hAnsi="仿宋_GB2312" w:cs="仿宋_GB2312"/>
          <w:sz w:val="32"/>
          <w:szCs w:val="32"/>
        </w:rPr>
        <w:t>重点引进医药原料药的加工机械。重点培育真空机、离心机、干燥机等主题的原料药机械。重点引进医用制剂的加工机械。重点培育胶囊剂机、胶囊充填机、胶囊生产线等高精度制剂机械。药品包装机械。重点引进用于药品包装的加工机械。重点培育包括药丸泡罩包装机、异形包装机、药盒捆包机、封瓶机、直线塞垫机、液体灌装机、给袋式包装机等自动化包装机械。食品药品包装。加快培育食品包装应用，开发无塑涂布食品包装等食品用无菌包装、无菌灌装机等液体饮料无菌包装、无</w:t>
      </w:r>
      <w:r>
        <w:rPr>
          <w:rFonts w:ascii="仿宋_GB2312" w:hAnsi="仿宋_GB2312" w:cs="仿宋_GB2312"/>
          <w:sz w:val="32"/>
          <w:szCs w:val="32"/>
        </w:rPr>
        <w:t>VOC（挥发性有机化合物）泡罩包装</w:t>
      </w:r>
      <w:r>
        <w:rPr>
          <w:rFonts w:hint="eastAsia" w:ascii="仿宋_GB2312" w:hAnsi="仿宋_GB2312" w:cs="仿宋_GB2312"/>
          <w:sz w:val="32"/>
          <w:szCs w:val="32"/>
        </w:rPr>
        <w:t>、P</w:t>
      </w:r>
      <w:r>
        <w:rPr>
          <w:rFonts w:ascii="仿宋_GB2312" w:hAnsi="仿宋_GB2312" w:cs="仿宋_GB2312"/>
          <w:sz w:val="32"/>
          <w:szCs w:val="32"/>
        </w:rPr>
        <w:t>VC</w:t>
      </w:r>
      <w:r>
        <w:rPr>
          <w:rFonts w:hint="eastAsia" w:ascii="仿宋_GB2312" w:hAnsi="仿宋_GB2312" w:cs="仿宋_GB2312"/>
          <w:sz w:val="32"/>
          <w:szCs w:val="32"/>
        </w:rPr>
        <w:t>抗菌材料等医疗器具抗菌包装产品。</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3、拉长时尚休闲、高端不锈钢、智能阀门三大产业链</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一是做强时尚休闲产业。时尚鞋服。重点引入新兴纺织材料、</w:t>
      </w:r>
      <w:r>
        <w:rPr>
          <w:rFonts w:ascii="仿宋_GB2312" w:hAnsi="仿宋_GB2312" w:cs="仿宋_GB2312"/>
          <w:sz w:val="32"/>
          <w:szCs w:val="32"/>
        </w:rPr>
        <w:t>3D</w:t>
      </w:r>
      <w:r>
        <w:rPr>
          <w:rFonts w:hint="eastAsia" w:ascii="仿宋_GB2312" w:hAnsi="仿宋_GB2312" w:cs="仿宋_GB2312"/>
          <w:sz w:val="32"/>
          <w:szCs w:val="32"/>
        </w:rPr>
        <w:t>数字设计和鞋服生产设备企业。培育水性树脂及生态革等新兴鞋服材料，实现产品进口替代；引进、培养一批时尚产业高端设计人才，培育产业链中游3</w:t>
      </w:r>
      <w:r>
        <w:rPr>
          <w:rFonts w:ascii="仿宋_GB2312" w:hAnsi="仿宋_GB2312" w:cs="仿宋_GB2312"/>
          <w:sz w:val="32"/>
          <w:szCs w:val="32"/>
        </w:rPr>
        <w:t>D</w:t>
      </w:r>
      <w:r>
        <w:rPr>
          <w:rFonts w:hint="eastAsia" w:ascii="仿宋_GB2312" w:hAnsi="仿宋_GB2312" w:cs="仿宋_GB2312"/>
          <w:sz w:val="32"/>
          <w:szCs w:val="32"/>
        </w:rPr>
        <w:t>数字化设计企业，形成设计创新引领的时尚设计产业链；积极培育R</w:t>
      </w:r>
      <w:r>
        <w:rPr>
          <w:rFonts w:ascii="仿宋_GB2312" w:hAnsi="仿宋_GB2312" w:cs="仿宋_GB2312"/>
          <w:sz w:val="32"/>
          <w:szCs w:val="32"/>
        </w:rPr>
        <w:t>FID</w:t>
      </w:r>
      <w:r>
        <w:rPr>
          <w:rFonts w:hint="eastAsia" w:ascii="仿宋_GB2312" w:hAnsi="仿宋_GB2312" w:cs="仿宋_GB2312"/>
          <w:sz w:val="32"/>
          <w:szCs w:val="32"/>
        </w:rPr>
        <w:t>、自动刷胶机、电脑印花机等智能制造设备，研发工业互联网平台，培育或吸收大规模个性化定制工艺与智能鞋包的研发制造工艺。时尚家居。重点引入时尚家具、家电、厨具、工艺美术品及家用纺织品等领域领先企业。培育具备注重环保、追求美观、体现舒适、智能高效特点的时尚家居产品，加快研发</w:t>
      </w:r>
      <w:r>
        <w:rPr>
          <w:rFonts w:ascii="仿宋_GB2312" w:hAnsi="仿宋_GB2312" w:cs="仿宋_GB2312"/>
          <w:sz w:val="32"/>
          <w:szCs w:val="32"/>
        </w:rPr>
        <w:t>PP防腐实验室家具</w:t>
      </w:r>
      <w:r>
        <w:rPr>
          <w:rFonts w:hint="eastAsia" w:ascii="仿宋_GB2312" w:hAnsi="仿宋_GB2312" w:cs="仿宋_GB2312"/>
          <w:sz w:val="32"/>
          <w:szCs w:val="32"/>
        </w:rPr>
        <w:t>、“</w:t>
      </w:r>
      <w:r>
        <w:rPr>
          <w:rFonts w:ascii="仿宋_GB2312" w:hAnsi="仿宋_GB2312" w:cs="仿宋_GB2312"/>
          <w:sz w:val="32"/>
          <w:szCs w:val="32"/>
        </w:rPr>
        <w:t>5G+AI+8K”</w:t>
      </w:r>
      <w:r>
        <w:rPr>
          <w:rFonts w:hint="eastAsia" w:ascii="仿宋_GB2312" w:hAnsi="仿宋_GB2312" w:cs="仿宋_GB2312"/>
          <w:sz w:val="32"/>
          <w:szCs w:val="32"/>
        </w:rPr>
        <w:t>智慧大屏、高温杀菌洗衣机等智能家居设备。珠宝首饰与化妆品。重点引入以法国、韩国、墨西哥等国为首的国际一流美妆企业与珠宝企业。引进原石分级、毛坯设计、晶体切割、抛光、</w:t>
      </w:r>
      <w:r>
        <w:rPr>
          <w:rFonts w:ascii="仿宋_GB2312" w:hAnsi="仿宋_GB2312" w:cs="仿宋_GB2312"/>
          <w:sz w:val="32"/>
          <w:szCs w:val="32"/>
        </w:rPr>
        <w:t>QC送检</w:t>
      </w:r>
      <w:r>
        <w:rPr>
          <w:rFonts w:hint="eastAsia" w:ascii="仿宋_GB2312" w:hAnsi="仿宋_GB2312" w:cs="仿宋_GB2312"/>
          <w:sz w:val="32"/>
          <w:szCs w:val="32"/>
        </w:rPr>
        <w:t>等产业链环节生产设备，培育拉砂、喷砂、勾丝、分色电金等先进生产加工工艺；重点引入O</w:t>
      </w:r>
      <w:r>
        <w:rPr>
          <w:rFonts w:ascii="仿宋_GB2312" w:hAnsi="仿宋_GB2312" w:cs="仿宋_GB2312"/>
          <w:sz w:val="32"/>
          <w:szCs w:val="32"/>
        </w:rPr>
        <w:t>DE</w:t>
      </w:r>
      <w:r>
        <w:rPr>
          <w:rFonts w:hint="eastAsia" w:ascii="仿宋_GB2312" w:hAnsi="仿宋_GB2312" w:cs="仿宋_GB2312"/>
          <w:sz w:val="32"/>
          <w:szCs w:val="32"/>
        </w:rPr>
        <w:t>、O</w:t>
      </w:r>
      <w:r>
        <w:rPr>
          <w:rFonts w:ascii="仿宋_GB2312" w:hAnsi="仿宋_GB2312" w:cs="仿宋_GB2312"/>
          <w:sz w:val="32"/>
          <w:szCs w:val="32"/>
        </w:rPr>
        <w:t>EM</w:t>
      </w:r>
      <w:r>
        <w:rPr>
          <w:rFonts w:hint="eastAsia" w:ascii="仿宋_GB2312" w:hAnsi="仿宋_GB2312" w:cs="仿宋_GB2312"/>
          <w:sz w:val="32"/>
          <w:szCs w:val="32"/>
        </w:rPr>
        <w:t>化妆品加工企业，加快研发化妆品的灌装、封口、压码</w:t>
      </w:r>
      <w:r>
        <w:rPr>
          <w:rFonts w:ascii="仿宋_GB2312" w:hAnsi="仿宋_GB2312" w:cs="仿宋_GB2312"/>
          <w:sz w:val="32"/>
          <w:szCs w:val="32"/>
        </w:rPr>
        <w:t>/喷码</w:t>
      </w:r>
      <w:r>
        <w:rPr>
          <w:rFonts w:hint="eastAsia" w:ascii="仿宋_GB2312" w:hAnsi="仿宋_GB2312" w:cs="仿宋_GB2312"/>
          <w:sz w:val="32"/>
          <w:szCs w:val="32"/>
        </w:rPr>
        <w:t>自动化设备。石雕产业。重点引入第三方工业设计企业。积极引进石雕设计人才，形成石雕美术设计产业链与智能生产产业链；加快培育选料布局、打坯戳坯、放洞镂雕、精刻修光、配垫装垫、打光上蜡等先进生产工艺，培育具备高文创价值的下游石雕产品。健康食品饮料产业。重点引入个性化烘焙解决方案提供商和无菌包装制造企业。研发水波炉（水蒸气烘烤微波炉）、光波炉等专业硬件烘焙设备，积累高标准培训资源，培育达人手作、私人订制等个性化烘焙业务线；引进国际知名红酒企业，形成红酒贸易产业链；加快培育食品包装应用，开发无塑涂布食品包装等食品用无菌包装、无菌灌装机等液体饮料无菌包装、无</w:t>
      </w:r>
      <w:r>
        <w:rPr>
          <w:rFonts w:ascii="仿宋_GB2312" w:hAnsi="仿宋_GB2312" w:cs="仿宋_GB2312"/>
          <w:sz w:val="32"/>
          <w:szCs w:val="32"/>
        </w:rPr>
        <w:t>VOC（挥发性有机化合物）泡罩包装</w:t>
      </w:r>
      <w:r>
        <w:rPr>
          <w:rFonts w:hint="eastAsia" w:ascii="仿宋_GB2312" w:hAnsi="仿宋_GB2312" w:cs="仿宋_GB2312"/>
          <w:sz w:val="32"/>
          <w:szCs w:val="32"/>
        </w:rPr>
        <w:t>、P</w:t>
      </w:r>
      <w:r>
        <w:rPr>
          <w:rFonts w:ascii="仿宋_GB2312" w:hAnsi="仿宋_GB2312" w:cs="仿宋_GB2312"/>
          <w:sz w:val="32"/>
          <w:szCs w:val="32"/>
        </w:rPr>
        <w:t>VC</w:t>
      </w:r>
      <w:r>
        <w:rPr>
          <w:rFonts w:hint="eastAsia" w:ascii="仿宋_GB2312" w:hAnsi="仿宋_GB2312" w:cs="仿宋_GB2312"/>
          <w:sz w:val="32"/>
          <w:szCs w:val="32"/>
        </w:rPr>
        <w:t>抗菌材料等医疗器具抗菌包装等产品。时尚家具。重点引入健康休闲、家具制造、食品机械等相关企业。加快培育设计建材、家居设计材料、设计灯饰、高定</w:t>
      </w:r>
      <w:r>
        <w:rPr>
          <w:rFonts w:ascii="仿宋_GB2312" w:hAnsi="仿宋_GB2312" w:cs="仿宋_GB2312"/>
          <w:sz w:val="32"/>
          <w:szCs w:val="32"/>
        </w:rPr>
        <w:t>/简奢/简约/现代</w:t>
      </w:r>
      <w:r>
        <w:rPr>
          <w:rFonts w:hint="eastAsia" w:ascii="仿宋_GB2312" w:hAnsi="仿宋_GB2312" w:cs="仿宋_GB2312"/>
          <w:sz w:val="32"/>
          <w:szCs w:val="32"/>
        </w:rPr>
        <w:t>家居用品</w:t>
      </w:r>
      <w:r>
        <w:rPr>
          <w:rFonts w:ascii="仿宋_GB2312" w:hAnsi="仿宋_GB2312" w:cs="仿宋_GB2312"/>
          <w:sz w:val="32"/>
          <w:szCs w:val="32"/>
        </w:rPr>
        <w:t>、智能睡眠、软体家居及办公家具</w:t>
      </w:r>
      <w:r>
        <w:rPr>
          <w:rFonts w:hint="eastAsia" w:ascii="仿宋_GB2312" w:hAnsi="仿宋_GB2312" w:cs="仿宋_GB2312"/>
          <w:sz w:val="32"/>
          <w:szCs w:val="32"/>
        </w:rPr>
        <w:t>等产品，拓展潮家具、潮玩物、潮光、潮宅、潮生活等下游应用场景。时尚家电。重点引入集研发、生产、销售及服务为一体的高品质咖啡机制造企业。培育多头字母锅炉等高端半自动或全自动咖啡机产品，建设“咖啡之窗”展示馆（会客厅）、咖啡文化体验城区。</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二是做强高端不锈钢产业。高强度不锈钢。重点引进研发及生产超级双相不锈钢、沉淀硬化不锈钢、</w:t>
      </w:r>
      <w:r>
        <w:rPr>
          <w:rFonts w:ascii="仿宋_GB2312" w:hAnsi="仿宋_GB2312" w:cs="仿宋_GB2312"/>
          <w:sz w:val="32"/>
          <w:szCs w:val="32"/>
        </w:rPr>
        <w:t>400系不锈钢、易切削不锈钢、耐热不锈钢、气阀钢和模具钢等技术领先企业。打造减振铁磁性不锈钢等高品质不锈钢，马氏体33Cr16MoIN等高性能工模具用钢、马氏体系YUS 350等耐腐蚀及耐高温高压高强钢、高性能工程用钢等优质产品池，进而培育不锈钢复合材及深加工、标准和非标配件以及成套设备、厨卫设备、建筑装饰等精深加工产品领域。</w:t>
      </w:r>
      <w:r>
        <w:rPr>
          <w:rFonts w:hint="eastAsia" w:ascii="仿宋_GB2312" w:hAnsi="仿宋_GB2312" w:cs="仿宋_GB2312"/>
          <w:sz w:val="32"/>
          <w:szCs w:val="32"/>
        </w:rPr>
        <w:t>新一代信息技术用、医疗器械用不锈钢。重点引进应用于国防设备、海工设备、航空航天等领域的不锈钢科技型企业。加快完成奥氏体</w:t>
      </w:r>
      <w:r>
        <w:rPr>
          <w:rFonts w:ascii="仿宋_GB2312" w:hAnsi="仿宋_GB2312" w:cs="仿宋_GB2312"/>
          <w:sz w:val="32"/>
          <w:szCs w:val="32"/>
        </w:rPr>
        <w:t>YUS 304N不锈钢厚板（30mm）、奥氏体铬镍不锈钢等特殊领域用不锈钢产品的新业务培育。加快研发耐热、耐腐蚀、抗菌等的高功能型不锈钢，引进Cr-Ni系、Cr-Ni-Mo系、Cr-Ni-Mn-N系无磁不锈钢、减振铁磁性不锈钢、形状记忆不锈钢等高性能产品。加快培育抗辐照肿胀不锈钢、低放射性（活化）不锈钢等核电管、耐蚀航空管用高端不锈钢</w:t>
      </w:r>
      <w:r>
        <w:rPr>
          <w:rFonts w:hint="eastAsia" w:ascii="仿宋_GB2312" w:hAnsi="仿宋_GB2312" w:cs="仿宋_GB2312"/>
          <w:sz w:val="32"/>
          <w:szCs w:val="32"/>
        </w:rPr>
        <w:t>和</w:t>
      </w:r>
      <w:r>
        <w:rPr>
          <w:rFonts w:ascii="仿宋_GB2312" w:hAnsi="仿宋_GB2312" w:cs="仿宋_GB2312"/>
          <w:sz w:val="32"/>
          <w:szCs w:val="32"/>
        </w:rPr>
        <w:t>不锈钢极薄带材。重点研发具备耐腐蚀性的304不锈钢、具备</w:t>
      </w:r>
      <w:r>
        <w:rPr>
          <w:rFonts w:hint="eastAsia" w:ascii="仿宋_GB2312" w:hAnsi="仿宋_GB2312" w:cs="仿宋_GB2312"/>
          <w:sz w:val="32"/>
          <w:szCs w:val="32"/>
        </w:rPr>
        <w:t>耐高温强度的</w:t>
      </w:r>
      <w:r>
        <w:rPr>
          <w:rFonts w:ascii="仿宋_GB2312" w:hAnsi="仿宋_GB2312" w:cs="仿宋_GB2312"/>
          <w:sz w:val="32"/>
          <w:szCs w:val="32"/>
        </w:rPr>
        <w:t>316不锈钢和马氏体不锈钢、铁素体不锈钢等高性能医疗器械用不锈钢产品。</w:t>
      </w:r>
      <w:r>
        <w:rPr>
          <w:rFonts w:hint="eastAsia" w:ascii="仿宋_GB2312" w:hAnsi="仿宋_GB2312" w:cs="仿宋_GB2312"/>
          <w:sz w:val="32"/>
          <w:szCs w:val="32"/>
        </w:rPr>
        <w:t>绿色环保钢种。重点引进国内技术领先的环保钢种企业。建设引入</w:t>
      </w:r>
      <w:r>
        <w:rPr>
          <w:rFonts w:ascii="仿宋_GB2312" w:hAnsi="仿宋_GB2312" w:cs="仿宋_GB2312"/>
          <w:sz w:val="32"/>
          <w:szCs w:val="32"/>
        </w:rPr>
        <w:t>1Ni耐海洋环境桥梁钢板等绿色环保钢种的生产线；加快研发在投资、生产效率和环保性能等方面均具备优势的短流程炼钢工艺；围绕引进的龙头冶炼企业和重点研发机构，培育EAF+LF+VD精炼工艺，进一步加速节能、节水、减排优势明显的电炉冶炼（EAF）工艺产业化进程。</w:t>
      </w:r>
      <w:r>
        <w:rPr>
          <w:rFonts w:hint="eastAsia" w:ascii="仿宋_GB2312" w:hAnsi="仿宋_GB2312" w:cs="仿宋_GB2312"/>
          <w:sz w:val="32"/>
          <w:szCs w:val="32"/>
        </w:rPr>
        <w:t>特殊合金制品。重点引进技术领先的特殊合金制造企业。重点引进和落地特殊合金生产线，主要包括铁镍基合金、镍基合金、精密合金、超级奥氏体不锈钢、尿素级不锈钢、外科植入物用不锈钢、沉淀硬化不锈钢等产品的改造提升。炼钢工艺。重点引进先进炼钢的生产线，具体包括冶炼、连铸、热轧和退火酸洗等全流程生产工艺，自主创新移动式</w:t>
      </w:r>
      <w:r>
        <w:rPr>
          <w:rFonts w:ascii="仿宋_GB2312" w:hAnsi="仿宋_GB2312" w:cs="仿宋_GB2312"/>
          <w:sz w:val="32"/>
          <w:szCs w:val="32"/>
        </w:rPr>
        <w:t>AOD炉、RKEF+AOD、氩氧脱碳精炼系统装置、水平连铸中间包加热装置等多项工艺；对接重点企业研究院、企业技术中心等研发机构，引进并落地全球第一条RKEF-AOD全程热送一体化不锈钢生产线的建设，下游切入高端精密电子行业、手机行业等高端用户市场</w:t>
      </w:r>
      <w:r>
        <w:rPr>
          <w:rFonts w:hint="eastAsia" w:ascii="仿宋_GB2312" w:hAnsi="仿宋_GB2312" w:cs="仿宋_GB2312"/>
          <w:sz w:val="32"/>
          <w:szCs w:val="32"/>
        </w:rPr>
        <w:t>。</w:t>
      </w:r>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cs="仿宋_GB2312"/>
          <w:sz w:val="32"/>
          <w:szCs w:val="32"/>
        </w:rPr>
        <w:t>三是做强智能阀门产业。特殊领域阀门装备。重点引进具备超（超）临界火电、煤化工、长输管线、石油化工、</w:t>
      </w:r>
      <w:r>
        <w:rPr>
          <w:rFonts w:ascii="仿宋_GB2312" w:hAnsi="仿宋_GB2312" w:cs="仿宋_GB2312"/>
          <w:sz w:val="32"/>
          <w:szCs w:val="32"/>
        </w:rPr>
        <w:t>LNG等领域</w:t>
      </w:r>
      <w:r>
        <w:rPr>
          <w:rFonts w:hint="eastAsia" w:ascii="仿宋_GB2312" w:hAnsi="仿宋_GB2312" w:cs="仿宋_GB2312"/>
          <w:sz w:val="32"/>
          <w:szCs w:val="32"/>
        </w:rPr>
        <w:t>用阀门研发或生产能力的领先企业。加快培育</w:t>
      </w:r>
      <w:r>
        <w:rPr>
          <w:rFonts w:ascii="仿宋_GB2312" w:hAnsi="仿宋_GB2312" w:cs="仿宋_GB2312"/>
          <w:sz w:val="32"/>
          <w:szCs w:val="32"/>
        </w:rPr>
        <w:t>63</w:t>
      </w:r>
      <w:r>
        <w:rPr>
          <w:rFonts w:hint="eastAsia" w:ascii="仿宋_GB2312" w:hAnsi="仿宋_GB2312" w:cs="仿宋_GB2312"/>
          <w:sz w:val="32"/>
          <w:szCs w:val="32"/>
        </w:rPr>
        <w:t>℃超（超）临界火电机组、专用大扭矩阀门电机、</w:t>
      </w:r>
      <w:r>
        <w:rPr>
          <w:rFonts w:ascii="仿宋_GB2312" w:hAnsi="仿宋_GB2312" w:cs="仿宋_GB2312"/>
          <w:sz w:val="32"/>
          <w:szCs w:val="32"/>
        </w:rPr>
        <w:t>API 6D</w:t>
      </w:r>
      <w:r>
        <w:rPr>
          <w:rFonts w:hint="eastAsia" w:ascii="仿宋_GB2312" w:hAnsi="仿宋_GB2312" w:cs="仿宋_GB2312"/>
          <w:sz w:val="32"/>
          <w:szCs w:val="32"/>
        </w:rPr>
        <w:t>煤化工闸阀、</w:t>
      </w:r>
      <w:r>
        <w:rPr>
          <w:rFonts w:ascii="仿宋_GB2312" w:hAnsi="仿宋_GB2312" w:cs="仿宋_GB2312"/>
          <w:sz w:val="32"/>
          <w:szCs w:val="32"/>
        </w:rPr>
        <w:t>LNG深冷蝶阀样机</w:t>
      </w:r>
      <w:r>
        <w:rPr>
          <w:rFonts w:hint="eastAsia" w:ascii="仿宋_GB2312" w:hAnsi="仿宋_GB2312" w:cs="仿宋_GB2312"/>
          <w:sz w:val="32"/>
          <w:szCs w:val="32"/>
        </w:rPr>
        <w:t>等可靠、可控、可感、高参的单一阀门装备产品业务线，进而培育流体阀智能化大成套阀门设备等下游产品。高端阀门铸件与关键基础件。重点引进高端阀门领先企业及上下游配套企业。培育单晶镍基高温合金铸件、</w:t>
      </w:r>
      <w:r>
        <w:rPr>
          <w:rFonts w:ascii="仿宋_GB2312" w:hAnsi="仿宋_GB2312" w:cs="仿宋_GB2312"/>
          <w:sz w:val="32"/>
          <w:szCs w:val="32"/>
        </w:rPr>
        <w:t>CF8C阀门</w:t>
      </w:r>
      <w:r>
        <w:rPr>
          <w:rFonts w:hint="eastAsia" w:ascii="仿宋_GB2312" w:hAnsi="仿宋_GB2312" w:cs="仿宋_GB2312"/>
          <w:sz w:val="32"/>
          <w:szCs w:val="32"/>
        </w:rPr>
        <w:t>铸件、“哈氏</w:t>
      </w:r>
      <w:r>
        <w:rPr>
          <w:rFonts w:ascii="仿宋_GB2312" w:hAnsi="仿宋_GB2312" w:cs="仿宋_GB2312"/>
          <w:sz w:val="32"/>
          <w:szCs w:val="32"/>
        </w:rPr>
        <w:t>C合金”</w:t>
      </w:r>
      <w:r>
        <w:rPr>
          <w:rFonts w:hint="eastAsia" w:ascii="仿宋_GB2312" w:hAnsi="仿宋_GB2312" w:cs="仿宋_GB2312"/>
          <w:sz w:val="32"/>
          <w:szCs w:val="32"/>
        </w:rPr>
        <w:t>阀门铸件等耐高温、耐高压、耐腐蚀的进口替代阀门铸件和高温合金铸件生产线，形成军工核电阀门产业链；加快研发阀门和旋塞、轴承、紧固件、模具等关键基础件，实现关键基础件高端化</w:t>
      </w:r>
      <w:r>
        <w:rPr>
          <w:rFonts w:hint="eastAsia" w:ascii="仿宋_GB2312" w:hAnsi="仿宋_GB2312" w:cs="仿宋_GB2312"/>
          <w:sz w:val="32"/>
          <w:szCs w:val="32"/>
          <w:lang w:eastAsia="zh-CN"/>
        </w:rPr>
        <w:t>。</w:t>
      </w:r>
      <w:bookmarkStart w:id="67" w:name="_GoBack"/>
      <w:bookmarkEnd w:id="67"/>
    </w:p>
    <w:p>
      <w:pPr>
        <w:ind w:firstLine="600"/>
      </w:pPr>
    </w:p>
    <w:bookmarkEnd w:id="44"/>
    <w:p>
      <w:pPr>
        <w:ind w:firstLine="600"/>
        <w:sectPr>
          <w:pgSz w:w="11906" w:h="16838"/>
          <w:pgMar w:top="1440" w:right="1800" w:bottom="1440" w:left="1800" w:header="851" w:footer="992" w:gutter="0"/>
          <w:cols w:space="425" w:num="1"/>
          <w:docGrid w:type="lines" w:linePitch="408" w:charSpace="0"/>
        </w:sectPr>
      </w:pPr>
    </w:p>
    <w:p>
      <w:pPr>
        <w:pStyle w:val="4"/>
        <w:spacing w:line="560" w:lineRule="exact"/>
        <w:ind w:firstLine="602"/>
        <w:contextualSpacing/>
        <w:rPr>
          <w:rFonts w:ascii="楷体_GB2312" w:eastAsia="楷体_GB2312"/>
          <w:color w:val="000000"/>
        </w:rPr>
      </w:pPr>
      <w:bookmarkStart w:id="47" w:name="_Toc14551"/>
      <w:r>
        <w:rPr>
          <w:rFonts w:hint="eastAsia" w:ascii="楷体_GB2312" w:eastAsia="楷体_GB2312"/>
          <w:color w:val="000000"/>
        </w:rPr>
        <w:t>（二）项目投资工程</w:t>
      </w:r>
      <w:bookmarkEnd w:id="47"/>
    </w:p>
    <w:p>
      <w:pPr>
        <w:spacing w:line="560" w:lineRule="exact"/>
        <w:ind w:firstLine="640"/>
        <w:rPr>
          <w:rFonts w:hint="eastAsia" w:ascii="仿宋_GB2312" w:hAnsi="仿宋_GB2312" w:eastAsia="仿宋_GB2312" w:cs="仿宋_GB2312"/>
          <w:sz w:val="32"/>
          <w:szCs w:val="32"/>
          <w:lang w:eastAsia="zh-CN"/>
        </w:rPr>
      </w:pPr>
      <w:r>
        <w:rPr>
          <w:rFonts w:hint="eastAsia" w:ascii="仿宋_GB2312" w:hAnsi="仿宋_GB2312" w:cs="仿宋_GB2312"/>
          <w:sz w:val="32"/>
          <w:szCs w:val="32"/>
        </w:rPr>
        <w:t>强化“双招双引”，</w:t>
      </w:r>
      <w:r>
        <w:rPr>
          <w:rFonts w:hint="eastAsia" w:ascii="仿宋_GB2312" w:hAnsi="仿宋_GB2312" w:cs="仿宋_GB2312"/>
          <w:sz w:val="32"/>
          <w:szCs w:val="32"/>
          <w:lang w:val="en-US" w:eastAsia="zh-CN"/>
        </w:rPr>
        <w:t>强化项目全生命周期管理，培植生态工业</w:t>
      </w:r>
      <w:r>
        <w:rPr>
          <w:rFonts w:hint="eastAsia" w:ascii="仿宋_GB2312" w:hAnsi="仿宋_GB2312" w:cs="仿宋_GB2312"/>
          <w:sz w:val="32"/>
          <w:szCs w:val="32"/>
        </w:rPr>
        <w:t>新动能</w:t>
      </w:r>
      <w:r>
        <w:rPr>
          <w:rFonts w:hint="eastAsia" w:ascii="仿宋_GB2312" w:hAnsi="仿宋_GB2312" w:cs="仿宋_GB2312"/>
          <w:sz w:val="32"/>
          <w:szCs w:val="32"/>
          <w:lang w:eastAsia="zh-CN"/>
        </w:rPr>
        <w:t>。</w:t>
      </w:r>
      <w:r>
        <w:rPr>
          <w:rFonts w:hint="eastAsia" w:ascii="仿宋_GB2312" w:hAnsi="仿宋_GB2312" w:cs="仿宋_GB2312"/>
          <w:sz w:val="32"/>
          <w:szCs w:val="32"/>
        </w:rPr>
        <w:t>针对前期落地项目达产达税率低、开工建设慢、审批流程慢等问题，加快创新项目管理服务机制，推进一批建设快达产早效益好的项目</w:t>
      </w:r>
      <w:r>
        <w:rPr>
          <w:rFonts w:hint="eastAsia" w:ascii="仿宋_GB2312" w:hAnsi="仿宋_GB2312" w:cs="仿宋_GB2312"/>
          <w:sz w:val="32"/>
          <w:szCs w:val="32"/>
          <w:lang w:eastAsia="zh-CN"/>
        </w:rPr>
        <w:t>。</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1、聚焦重点产业，</w:t>
      </w:r>
      <w:bookmarkStart w:id="48" w:name="_Hlk66980098"/>
      <w:r>
        <w:rPr>
          <w:rFonts w:hint="eastAsia" w:ascii="仿宋_GB2312"/>
          <w:kern w:val="2"/>
          <w:szCs w:val="32"/>
          <w:shd w:val="clear" w:color="auto" w:fill="FFFFFF"/>
        </w:rPr>
        <w:t>完善项目落地处理机制</w:t>
      </w:r>
      <w:bookmarkEnd w:id="48"/>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围绕高端不锈钢、</w:t>
      </w:r>
      <w:bookmarkStart w:id="49" w:name="_Hlk63153742"/>
      <w:r>
        <w:rPr>
          <w:rFonts w:hint="eastAsia" w:ascii="仿宋_GB2312" w:hAnsi="仿宋_GB2312" w:cs="仿宋_GB2312"/>
          <w:sz w:val="32"/>
          <w:szCs w:val="32"/>
        </w:rPr>
        <w:t>高端智控</w:t>
      </w:r>
      <w:bookmarkEnd w:id="49"/>
      <w:r>
        <w:rPr>
          <w:rFonts w:hint="eastAsia" w:ascii="仿宋_GB2312" w:hAnsi="仿宋_GB2312" w:cs="仿宋_GB2312"/>
          <w:sz w:val="32"/>
          <w:szCs w:val="32"/>
        </w:rPr>
        <w:t>阀门、时尚休闲、绿色石矿、绿色新能源及机车制造和数字经济六大重点产业，统筹使用土地、资金等要素，推进一批产业链关键环节重点项目，一批重点产业平台项目，一批行业重点创新平台项目、一批产业关键配套项目。梳理分析项目落地建设存在的困难问题，针对性制定对策措施，逐一明确责任单位、办理时限，严格落实“两重双快”推进机制，切实推动项目快开工、快建设、快竣工。持续深化政策处理“一块地一纪要一专班一百天”的攻坚工作机制，实现从征地任务下达到完成土地征收“最多一百天”，打造征地政策处理的青田速度。</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2、聚焦项目落地建设，完善项目审批机制</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进一步完善助企审批“快跑服务”机制，实行项目审批清单式服务，全程代办重大项目审批，深化工业项目审批“最多80天”。建立制造业项目全生命周期服务机制，主动加强与项目业主沟通对接，及时帮助协调解决项目建设过程中遇到的各类问题，确保项目从落地到达产全程有人抓、有人推、有人管。</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3、聚焦建设未完工，完善重点项目推进机制</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借鉴德清等地的做法，紧扣施工准备、基础工程、主体工程、附属工程“四大工期”，出台建设标准工期建议书，指导一般企业投资项目按照标准工期进行招投标，实现常规2万平方米工业厂房“深基础＋钢筋砼”建设310天完成、“浅基础＋钢结构”建设210天完成，确保快建设、快投产、快达标。</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4、聚焦投产未达产，完善项目违约责任追究</w:t>
      </w:r>
    </w:p>
    <w:p>
      <w:pPr>
        <w:spacing w:line="560" w:lineRule="exact"/>
        <w:ind w:firstLine="640"/>
        <w:rPr>
          <w:rFonts w:ascii="仿宋_GB2312" w:hAnsi="仿宋_GB2312" w:cs="仿宋_GB2312"/>
          <w:sz w:val="32"/>
          <w:szCs w:val="32"/>
        </w:rPr>
      </w:pPr>
      <w:r>
        <w:rPr>
          <w:rFonts w:hint="eastAsia" w:ascii="仿宋_GB2312" w:hAnsi="仿宋_GB2312" w:cs="仿宋_GB2312"/>
          <w:sz w:val="32"/>
          <w:szCs w:val="32"/>
        </w:rPr>
        <w:t>对个别业主因主观意愿导致项目推进不利的，要严控用地履约管理，积极探索推行用地弹性年期出让、分阶段评估验收、协议回收、低效用地市场化退出等集约用地管理新模式，倒逼项目加速推进、及早达产。</w:t>
      </w:r>
    </w:p>
    <w:p>
      <w:pPr>
        <w:rPr>
          <w:rFonts w:hint="eastAsia" w:ascii="楷体_GB2312" w:eastAsia="楷体_GB2312"/>
          <w:color w:val="000000"/>
        </w:rPr>
      </w:pPr>
      <w:r>
        <w:rPr>
          <w:rFonts w:hint="eastAsia" w:ascii="楷体_GB2312" w:eastAsia="楷体_GB2312"/>
          <w:color w:val="000000"/>
        </w:rPr>
        <w:br w:type="page"/>
      </w:r>
    </w:p>
    <w:p>
      <w:pPr>
        <w:pStyle w:val="4"/>
        <w:spacing w:line="560" w:lineRule="exact"/>
        <w:ind w:firstLine="602"/>
        <w:contextualSpacing/>
        <w:rPr>
          <w:rFonts w:ascii="楷体_GB2312" w:eastAsia="楷体_GB2312"/>
          <w:color w:val="000000"/>
        </w:rPr>
      </w:pPr>
      <w:bookmarkStart w:id="50" w:name="_Toc17443"/>
      <w:r>
        <w:rPr>
          <w:rFonts w:hint="eastAsia" w:ascii="楷体_GB2312" w:eastAsia="楷体_GB2312"/>
          <w:color w:val="000000"/>
        </w:rPr>
        <w:t>（三）企业培育工程</w:t>
      </w:r>
      <w:bookmarkEnd w:id="50"/>
    </w:p>
    <w:p>
      <w:pPr>
        <w:spacing w:line="560" w:lineRule="exact"/>
        <w:ind w:firstLine="640"/>
        <w:rPr>
          <w:rFonts w:ascii="仿宋_GB2312"/>
          <w:sz w:val="32"/>
          <w:szCs w:val="32"/>
        </w:rPr>
      </w:pPr>
      <w:r>
        <w:rPr>
          <w:rFonts w:hint="eastAsia" w:ascii="仿宋_GB2312"/>
          <w:sz w:val="32"/>
          <w:szCs w:val="32"/>
        </w:rPr>
        <w:t>发挥青田上市企业、龙头企业优势，重点稳住一批10亿以上龙头企业，打造一批亿元以上小巨人，培育一批小升规新上规生力军，培育一批中流砥柱竞争力强的企业。</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1、培育一批行业“大龙头”企业</w:t>
      </w:r>
    </w:p>
    <w:p>
      <w:pPr>
        <w:spacing w:line="560" w:lineRule="exact"/>
        <w:ind w:firstLine="640"/>
        <w:rPr>
          <w:rFonts w:ascii="仿宋_GB2312"/>
          <w:sz w:val="32"/>
          <w:szCs w:val="32"/>
        </w:rPr>
      </w:pPr>
      <w:r>
        <w:rPr>
          <w:rFonts w:hint="eastAsia" w:ascii="仿宋_GB2312"/>
          <w:sz w:val="32"/>
          <w:szCs w:val="32"/>
        </w:rPr>
        <w:t>实施</w:t>
      </w:r>
      <w:r>
        <w:rPr>
          <w:rFonts w:hint="eastAsia" w:ascii="仿宋_GB2312"/>
          <w:b/>
          <w:bCs/>
          <w:sz w:val="32"/>
          <w:szCs w:val="32"/>
        </w:rPr>
        <w:t>“凤凰行动”</w:t>
      </w:r>
      <w:r>
        <w:rPr>
          <w:rFonts w:hint="eastAsia" w:ascii="仿宋_GB2312"/>
          <w:sz w:val="32"/>
          <w:szCs w:val="32"/>
        </w:rPr>
        <w:t>，建立拟上市后备企业资源清单，鼓励优质企业积极对接多层次资本市场，加快企业在各资本市场挂牌上市步伐。拓展融资渠道，着力推动符合条件的企业开展股票、股权、债券融资。培育</w:t>
      </w:r>
      <w:r>
        <w:rPr>
          <w:rFonts w:hint="eastAsia" w:ascii="仿宋_GB2312"/>
          <w:b/>
          <w:bCs/>
          <w:sz w:val="32"/>
          <w:szCs w:val="32"/>
        </w:rPr>
        <w:t>“雄鹰企业”</w:t>
      </w:r>
      <w:r>
        <w:rPr>
          <w:rFonts w:hint="eastAsia" w:ascii="仿宋_GB2312"/>
          <w:sz w:val="32"/>
          <w:szCs w:val="32"/>
        </w:rPr>
        <w:t>，支持青山钢铁、意尔康、起步等企业整合优质资源，优化产能全球布局。鼓励</w:t>
      </w:r>
      <w:r>
        <w:rPr>
          <w:rFonts w:hint="eastAsia" w:ascii="仿宋_GB2312"/>
          <w:b/>
          <w:bCs/>
          <w:sz w:val="32"/>
          <w:szCs w:val="32"/>
        </w:rPr>
        <w:t>龙头骨干企业围绕提升产业集中度</w:t>
      </w:r>
      <w:r>
        <w:rPr>
          <w:rFonts w:hint="eastAsia" w:ascii="仿宋_GB2312"/>
          <w:sz w:val="32"/>
          <w:szCs w:val="32"/>
        </w:rPr>
        <w:t>、延伸产业链等开展并购重组，支持起步并购优质企业、瑞浦科技股改上市、意尔康技改扩能，支持绿水、三辰等新三板企业转板。</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2、培育一批“小巨人”企业</w:t>
      </w:r>
    </w:p>
    <w:p>
      <w:pPr>
        <w:spacing w:line="560" w:lineRule="exact"/>
        <w:ind w:firstLine="640"/>
        <w:rPr>
          <w:rFonts w:ascii="仿宋_GB2312"/>
          <w:sz w:val="32"/>
          <w:szCs w:val="32"/>
        </w:rPr>
      </w:pPr>
      <w:r>
        <w:rPr>
          <w:rFonts w:hint="eastAsia" w:ascii="仿宋_GB2312"/>
          <w:sz w:val="32"/>
          <w:szCs w:val="32"/>
        </w:rPr>
        <w:t>深入实施</w:t>
      </w:r>
      <w:r>
        <w:rPr>
          <w:rFonts w:hint="eastAsia" w:ascii="仿宋_GB2312"/>
          <w:b/>
          <w:bCs/>
          <w:sz w:val="32"/>
          <w:szCs w:val="32"/>
        </w:rPr>
        <w:t>“雏鹰行动”</w:t>
      </w:r>
      <w:r>
        <w:rPr>
          <w:rFonts w:hint="eastAsia" w:ascii="仿宋_GB2312"/>
          <w:sz w:val="32"/>
          <w:szCs w:val="32"/>
        </w:rPr>
        <w:t>，加快从“专精特新”企业向隐形冠军企业转型。扎实开展“隐形冠军”、</w:t>
      </w:r>
      <w:r>
        <w:rPr>
          <w:rFonts w:hint="eastAsia" w:ascii="仿宋_GB2312"/>
          <w:b/>
          <w:bCs/>
          <w:sz w:val="32"/>
          <w:szCs w:val="32"/>
        </w:rPr>
        <w:t>单项冠军培育行动</w:t>
      </w:r>
      <w:r>
        <w:rPr>
          <w:rFonts w:hint="eastAsia" w:ascii="仿宋_GB2312"/>
          <w:sz w:val="32"/>
          <w:szCs w:val="32"/>
        </w:rPr>
        <w:t>，深入实施“放水养鱼”行动，实施“一企一策”重点扶持一批细分市场有竞争优势、成长性好、掌握关键核心技术的优质企业。聚焦高端不锈钢、</w:t>
      </w:r>
      <w:r>
        <w:rPr>
          <w:rFonts w:hint="eastAsia" w:ascii="仿宋_GB2312" w:hAnsi="仿宋_GB2312" w:cs="仿宋_GB2312"/>
          <w:sz w:val="32"/>
          <w:szCs w:val="32"/>
        </w:rPr>
        <w:t>高端智控</w:t>
      </w:r>
      <w:r>
        <w:rPr>
          <w:rFonts w:hint="eastAsia" w:ascii="仿宋_GB2312"/>
          <w:sz w:val="32"/>
          <w:szCs w:val="32"/>
        </w:rPr>
        <w:t>阀门等产业基础好的产业，积极应用新一代信息技术，支持开发新技术新产品，加快从科技型小微企业迈向</w:t>
      </w:r>
      <w:r>
        <w:rPr>
          <w:rFonts w:hint="eastAsia" w:ascii="仿宋_GB2312"/>
          <w:b/>
          <w:bCs/>
          <w:sz w:val="32"/>
          <w:szCs w:val="32"/>
        </w:rPr>
        <w:t>高新技术企业</w:t>
      </w:r>
      <w:r>
        <w:rPr>
          <w:rFonts w:hint="eastAsia" w:ascii="仿宋_GB2312"/>
          <w:sz w:val="32"/>
          <w:szCs w:val="32"/>
        </w:rPr>
        <w:t>。充分发挥政策性融资担保公司作用，改善小微企业融资环境。</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3、培育一批生态工业“生力军”</w:t>
      </w:r>
    </w:p>
    <w:p>
      <w:pPr>
        <w:spacing w:line="560" w:lineRule="exact"/>
        <w:ind w:firstLine="640"/>
        <w:rPr>
          <w:rFonts w:hint="eastAsia" w:ascii="仿宋_GB2312"/>
          <w:sz w:val="32"/>
          <w:szCs w:val="32"/>
        </w:rPr>
      </w:pPr>
      <w:r>
        <w:rPr>
          <w:rFonts w:hint="eastAsia" w:ascii="仿宋_GB2312"/>
          <w:sz w:val="32"/>
          <w:szCs w:val="32"/>
        </w:rPr>
        <w:t>建立</w:t>
      </w:r>
      <w:r>
        <w:rPr>
          <w:rFonts w:hint="eastAsia" w:ascii="仿宋_GB2312"/>
          <w:b/>
          <w:bCs/>
          <w:sz w:val="32"/>
          <w:szCs w:val="32"/>
        </w:rPr>
        <w:t>“专精特新”“小升规”培育库</w:t>
      </w:r>
      <w:r>
        <w:rPr>
          <w:rFonts w:hint="eastAsia" w:ascii="仿宋_GB2312"/>
          <w:sz w:val="32"/>
          <w:szCs w:val="32"/>
        </w:rPr>
        <w:t>，实施“金鹤行动”，鼓励和引导企业走“专精特新”之路。支持企业</w:t>
      </w:r>
      <w:r>
        <w:rPr>
          <w:rFonts w:hint="eastAsia" w:ascii="仿宋_GB2312"/>
          <w:b/>
          <w:bCs/>
          <w:sz w:val="32"/>
          <w:szCs w:val="32"/>
        </w:rPr>
        <w:t>开发拳头产品</w:t>
      </w:r>
      <w:r>
        <w:rPr>
          <w:rFonts w:hint="eastAsia" w:ascii="仿宋_GB2312"/>
          <w:sz w:val="32"/>
          <w:szCs w:val="32"/>
        </w:rPr>
        <w:t>，持续深化“个转企、小升规、规改股、股上市”工作和民企“双对接”活动，建立市场主体升级工作常态化、规范化和长效化工作机制，提升市场主体质量。支持中小企业与龙头骨干企业</w:t>
      </w:r>
      <w:r>
        <w:rPr>
          <w:rFonts w:hint="eastAsia" w:ascii="仿宋_GB2312"/>
          <w:b/>
          <w:bCs/>
          <w:sz w:val="32"/>
          <w:szCs w:val="32"/>
        </w:rPr>
        <w:t>协同开发优化产品</w:t>
      </w:r>
      <w:r>
        <w:rPr>
          <w:rFonts w:hint="eastAsia" w:ascii="仿宋_GB2312"/>
          <w:sz w:val="32"/>
          <w:szCs w:val="32"/>
        </w:rPr>
        <w:t>，推广基于供应链协同、创新能力共享、数据驱动、产业生态等融通模式，增强中小企业专业化生产和协作配套的能力，提高中小企业科技研发水平，带动中小企业创新发展。</w:t>
      </w:r>
    </w:p>
    <w:p>
      <w:pPr>
        <w:pStyle w:val="2"/>
        <w:rPr>
          <w:rFonts w:hint="eastAsia" w:ascii="仿宋_GB2312"/>
          <w:sz w:val="32"/>
          <w:szCs w:val="32"/>
        </w:rPr>
      </w:pPr>
      <w:r>
        <w:rPr>
          <w:rStyle w:val="24"/>
          <w:rFonts w:ascii="仿宋_GB2312" w:hAnsi="微软雅黑" w:eastAsia="仿宋_GB2312" w:cs="仿宋_GB2312"/>
          <w:i w:val="0"/>
          <w:iCs w:val="0"/>
          <w:caps w:val="0"/>
          <w:color w:val="333333"/>
          <w:spacing w:val="0"/>
          <w:sz w:val="21"/>
          <w:szCs w:val="21"/>
          <w:u w:val="none"/>
          <w:shd w:val="clear" w:fill="FFFFFF"/>
        </w:rPr>
        <w:t>加强市场主体培育</w:t>
      </w:r>
      <w:r>
        <w:rPr>
          <w:rStyle w:val="24"/>
          <w:rFonts w:hint="eastAsia" w:ascii="仿宋_GB2312" w:hAnsi="微软雅黑" w:eastAsia="仿宋_GB2312" w:cs="仿宋_GB2312"/>
          <w:i w:val="0"/>
          <w:iCs w:val="0"/>
          <w:caps w:val="0"/>
          <w:color w:val="333333"/>
          <w:spacing w:val="0"/>
          <w:sz w:val="21"/>
          <w:szCs w:val="21"/>
          <w:u w:val="none"/>
          <w:shd w:val="clear" w:fill="FFFFFF"/>
        </w:rPr>
        <w:t>。</w:t>
      </w:r>
      <w:r>
        <w:rPr>
          <w:rFonts w:hint="eastAsia" w:ascii="仿宋_GB2312" w:hAnsi="宋体" w:eastAsia="仿宋_GB2312" w:cs="仿宋_GB2312"/>
          <w:b w:val="0"/>
          <w:bCs w:val="0"/>
          <w:i w:val="0"/>
          <w:iCs w:val="0"/>
          <w:caps w:val="0"/>
          <w:color w:val="333333"/>
          <w:spacing w:val="0"/>
          <w:sz w:val="21"/>
          <w:szCs w:val="21"/>
          <w:u w:val="none"/>
          <w:shd w:val="clear" w:fill="FFFFFF"/>
        </w:rPr>
        <w:t>实施高新技术企业和科技中小企业“双倍增”计划，形成</w:t>
      </w:r>
      <w:r>
        <w:rPr>
          <w:rFonts w:hint="default" w:ascii="Times New Roman" w:hAnsi="Times New Roman" w:eastAsia="宋体" w:cs="Times New Roman"/>
          <w:b w:val="0"/>
          <w:bCs w:val="0"/>
          <w:i w:val="0"/>
          <w:iCs w:val="0"/>
          <w:caps w:val="0"/>
          <w:color w:val="333333"/>
          <w:spacing w:val="0"/>
          <w:sz w:val="21"/>
          <w:szCs w:val="21"/>
          <w:u w:val="none"/>
          <w:shd w:val="clear" w:fill="FFFFFF"/>
        </w:rPr>
        <w:t>1</w:t>
      </w:r>
      <w:r>
        <w:rPr>
          <w:rFonts w:hint="eastAsia" w:ascii="仿宋_GB2312" w:hAnsi="宋体" w:eastAsia="仿宋_GB2312" w:cs="仿宋_GB2312"/>
          <w:b w:val="0"/>
          <w:bCs w:val="0"/>
          <w:i w:val="0"/>
          <w:iCs w:val="0"/>
          <w:caps w:val="0"/>
          <w:color w:val="333333"/>
          <w:spacing w:val="0"/>
          <w:sz w:val="21"/>
          <w:szCs w:val="21"/>
          <w:u w:val="none"/>
          <w:shd w:val="clear" w:fill="FFFFFF"/>
        </w:rPr>
        <w:t>家以上创新领军型企业、</w:t>
      </w:r>
      <w:r>
        <w:rPr>
          <w:rFonts w:hint="default" w:ascii="Times New Roman" w:hAnsi="Times New Roman" w:eastAsia="宋体" w:cs="Times New Roman"/>
          <w:b w:val="0"/>
          <w:bCs w:val="0"/>
          <w:i w:val="0"/>
          <w:iCs w:val="0"/>
          <w:caps w:val="0"/>
          <w:color w:val="333333"/>
          <w:spacing w:val="0"/>
          <w:sz w:val="21"/>
          <w:szCs w:val="21"/>
          <w:u w:val="none"/>
          <w:shd w:val="clear" w:fill="FFFFFF"/>
        </w:rPr>
        <w:t>60</w:t>
      </w:r>
      <w:r>
        <w:rPr>
          <w:rFonts w:hint="eastAsia" w:ascii="仿宋_GB2312" w:hAnsi="宋体" w:eastAsia="仿宋_GB2312" w:cs="仿宋_GB2312"/>
          <w:b w:val="0"/>
          <w:bCs w:val="0"/>
          <w:i w:val="0"/>
          <w:iCs w:val="0"/>
          <w:caps w:val="0"/>
          <w:color w:val="333333"/>
          <w:spacing w:val="0"/>
          <w:sz w:val="21"/>
          <w:szCs w:val="21"/>
          <w:u w:val="none"/>
          <w:shd w:val="clear" w:fill="FFFFFF"/>
        </w:rPr>
        <w:t>家以上高新技术企业、</w:t>
      </w:r>
      <w:r>
        <w:rPr>
          <w:rFonts w:hint="default" w:ascii="Times New Roman" w:hAnsi="Times New Roman" w:eastAsia="宋体" w:cs="Times New Roman"/>
          <w:b w:val="0"/>
          <w:bCs w:val="0"/>
          <w:i w:val="0"/>
          <w:iCs w:val="0"/>
          <w:caps w:val="0"/>
          <w:color w:val="333333"/>
          <w:spacing w:val="0"/>
          <w:sz w:val="21"/>
          <w:szCs w:val="21"/>
          <w:u w:val="none"/>
          <w:shd w:val="clear" w:fill="FFFFFF"/>
        </w:rPr>
        <w:t>250</w:t>
      </w:r>
      <w:r>
        <w:rPr>
          <w:rFonts w:hint="eastAsia" w:ascii="仿宋_GB2312" w:hAnsi="宋体" w:eastAsia="仿宋_GB2312" w:cs="仿宋_GB2312"/>
          <w:b w:val="0"/>
          <w:bCs w:val="0"/>
          <w:i w:val="0"/>
          <w:iCs w:val="0"/>
          <w:caps w:val="0"/>
          <w:color w:val="333333"/>
          <w:spacing w:val="0"/>
          <w:sz w:val="21"/>
          <w:szCs w:val="21"/>
          <w:u w:val="none"/>
          <w:shd w:val="clear" w:fill="FFFFFF"/>
        </w:rPr>
        <w:t>家以上省科技型企业等创新主体梯队培育机制。培育一批骨干龙头企业，建立“雏鹰企业”“凤凰企业”“雄鹰企业”培育库，到</w:t>
      </w:r>
      <w:r>
        <w:rPr>
          <w:rFonts w:hint="default" w:ascii="Times New Roman" w:hAnsi="Times New Roman" w:eastAsia="仿宋_GB2312" w:cs="Times New Roman"/>
          <w:b w:val="0"/>
          <w:bCs w:val="0"/>
          <w:i w:val="0"/>
          <w:iCs w:val="0"/>
          <w:caps w:val="0"/>
          <w:color w:val="333333"/>
          <w:spacing w:val="0"/>
          <w:sz w:val="21"/>
          <w:szCs w:val="21"/>
          <w:u w:val="none"/>
          <w:shd w:val="clear" w:fill="FFFFFF"/>
        </w:rPr>
        <w:t>2025</w:t>
      </w:r>
      <w:r>
        <w:rPr>
          <w:rFonts w:hint="eastAsia" w:ascii="仿宋_GB2312" w:hAnsi="宋体" w:eastAsia="仿宋_GB2312" w:cs="仿宋_GB2312"/>
          <w:b w:val="0"/>
          <w:bCs w:val="0"/>
          <w:i w:val="0"/>
          <w:iCs w:val="0"/>
          <w:caps w:val="0"/>
          <w:color w:val="333333"/>
          <w:spacing w:val="0"/>
          <w:sz w:val="21"/>
          <w:szCs w:val="21"/>
          <w:u w:val="none"/>
          <w:shd w:val="clear" w:fill="FFFFFF"/>
        </w:rPr>
        <w:t>年，实现规上工业企业</w:t>
      </w:r>
      <w:r>
        <w:rPr>
          <w:rFonts w:hint="default" w:ascii="Times New Roman" w:hAnsi="Times New Roman" w:eastAsia="宋体" w:cs="Times New Roman"/>
          <w:b w:val="0"/>
          <w:bCs w:val="0"/>
          <w:i w:val="0"/>
          <w:iCs w:val="0"/>
          <w:caps w:val="0"/>
          <w:color w:val="333333"/>
          <w:spacing w:val="0"/>
          <w:sz w:val="21"/>
          <w:szCs w:val="21"/>
          <w:u w:val="none"/>
          <w:shd w:val="clear" w:fill="FFFFFF"/>
        </w:rPr>
        <w:t>300</w:t>
      </w:r>
      <w:r>
        <w:rPr>
          <w:rFonts w:hint="eastAsia" w:ascii="仿宋_GB2312" w:hAnsi="宋体" w:eastAsia="仿宋_GB2312" w:cs="仿宋_GB2312"/>
          <w:b w:val="0"/>
          <w:bCs w:val="0"/>
          <w:i w:val="0"/>
          <w:iCs w:val="0"/>
          <w:caps w:val="0"/>
          <w:color w:val="333333"/>
          <w:spacing w:val="0"/>
          <w:sz w:val="21"/>
          <w:szCs w:val="21"/>
          <w:u w:val="none"/>
          <w:shd w:val="clear" w:fill="FFFFFF"/>
        </w:rPr>
        <w:t>家，其中亿级企业</w:t>
      </w:r>
      <w:r>
        <w:rPr>
          <w:rFonts w:hint="default" w:ascii="Times New Roman" w:hAnsi="Times New Roman" w:eastAsia="宋体" w:cs="Times New Roman"/>
          <w:b w:val="0"/>
          <w:bCs w:val="0"/>
          <w:i w:val="0"/>
          <w:iCs w:val="0"/>
          <w:caps w:val="0"/>
          <w:color w:val="333333"/>
          <w:spacing w:val="0"/>
          <w:sz w:val="21"/>
          <w:szCs w:val="21"/>
          <w:u w:val="none"/>
          <w:shd w:val="clear" w:fill="FFFFFF"/>
        </w:rPr>
        <w:t>70</w:t>
      </w:r>
      <w:r>
        <w:rPr>
          <w:rFonts w:hint="eastAsia" w:ascii="仿宋_GB2312" w:hAnsi="宋体" w:eastAsia="仿宋_GB2312" w:cs="仿宋_GB2312"/>
          <w:b w:val="0"/>
          <w:bCs w:val="0"/>
          <w:i w:val="0"/>
          <w:iCs w:val="0"/>
          <w:caps w:val="0"/>
          <w:color w:val="333333"/>
          <w:spacing w:val="0"/>
          <w:sz w:val="21"/>
          <w:szCs w:val="21"/>
          <w:u w:val="none"/>
          <w:shd w:val="clear" w:fill="FFFFFF"/>
        </w:rPr>
        <w:t>家、十亿级企业</w:t>
      </w:r>
      <w:r>
        <w:rPr>
          <w:rFonts w:hint="default" w:ascii="Times New Roman" w:hAnsi="Times New Roman" w:eastAsia="宋体" w:cs="Times New Roman"/>
          <w:b w:val="0"/>
          <w:bCs w:val="0"/>
          <w:i w:val="0"/>
          <w:iCs w:val="0"/>
          <w:caps w:val="0"/>
          <w:color w:val="333333"/>
          <w:spacing w:val="0"/>
          <w:sz w:val="21"/>
          <w:szCs w:val="21"/>
          <w:u w:val="none"/>
          <w:shd w:val="clear" w:fill="FFFFFF"/>
        </w:rPr>
        <w:t>20</w:t>
      </w:r>
      <w:r>
        <w:rPr>
          <w:rFonts w:hint="eastAsia" w:ascii="仿宋_GB2312" w:hAnsi="宋体" w:eastAsia="仿宋_GB2312" w:cs="仿宋_GB2312"/>
          <w:b w:val="0"/>
          <w:bCs w:val="0"/>
          <w:i w:val="0"/>
          <w:iCs w:val="0"/>
          <w:caps w:val="0"/>
          <w:color w:val="333333"/>
          <w:spacing w:val="0"/>
          <w:sz w:val="21"/>
          <w:szCs w:val="21"/>
          <w:u w:val="none"/>
          <w:shd w:val="clear" w:fill="FFFFFF"/>
        </w:rPr>
        <w:t>家、百亿级企业</w:t>
      </w:r>
      <w:r>
        <w:rPr>
          <w:rFonts w:hint="default" w:ascii="Times New Roman" w:hAnsi="Times New Roman" w:eastAsia="宋体" w:cs="Times New Roman"/>
          <w:b w:val="0"/>
          <w:bCs w:val="0"/>
          <w:i w:val="0"/>
          <w:iCs w:val="0"/>
          <w:caps w:val="0"/>
          <w:color w:val="333333"/>
          <w:spacing w:val="0"/>
          <w:sz w:val="21"/>
          <w:szCs w:val="21"/>
          <w:u w:val="none"/>
          <w:shd w:val="clear" w:fill="FFFFFF"/>
        </w:rPr>
        <w:t>2</w:t>
      </w:r>
      <w:r>
        <w:rPr>
          <w:rFonts w:hint="eastAsia" w:ascii="仿宋_GB2312" w:hAnsi="宋体" w:eastAsia="仿宋_GB2312" w:cs="仿宋_GB2312"/>
          <w:b w:val="0"/>
          <w:bCs w:val="0"/>
          <w:i w:val="0"/>
          <w:iCs w:val="0"/>
          <w:caps w:val="0"/>
          <w:color w:val="333333"/>
          <w:spacing w:val="0"/>
          <w:sz w:val="21"/>
          <w:szCs w:val="21"/>
          <w:u w:val="none"/>
          <w:shd w:val="clear" w:fill="FFFFFF"/>
        </w:rPr>
        <w:t>家。支持企业对接多层次资本市场，遴选</w:t>
      </w:r>
      <w:r>
        <w:rPr>
          <w:rFonts w:hint="default" w:ascii="Times New Roman" w:hAnsi="Times New Roman" w:eastAsia="宋体" w:cs="Times New Roman"/>
          <w:b w:val="0"/>
          <w:bCs w:val="0"/>
          <w:i w:val="0"/>
          <w:iCs w:val="0"/>
          <w:caps w:val="0"/>
          <w:color w:val="333333"/>
          <w:spacing w:val="0"/>
          <w:sz w:val="21"/>
          <w:szCs w:val="21"/>
          <w:u w:val="none"/>
          <w:shd w:val="clear" w:fill="FFFFFF"/>
        </w:rPr>
        <w:t>20</w:t>
      </w:r>
      <w:r>
        <w:rPr>
          <w:rFonts w:hint="eastAsia" w:ascii="仿宋_GB2312" w:hAnsi="宋体" w:eastAsia="仿宋_GB2312" w:cs="仿宋_GB2312"/>
          <w:b w:val="0"/>
          <w:bCs w:val="0"/>
          <w:i w:val="0"/>
          <w:iCs w:val="0"/>
          <w:caps w:val="0"/>
          <w:color w:val="333333"/>
          <w:spacing w:val="0"/>
          <w:sz w:val="21"/>
          <w:szCs w:val="21"/>
          <w:u w:val="none"/>
          <w:shd w:val="clear" w:fill="FFFFFF"/>
        </w:rPr>
        <w:t>家左右优质企业纳入拟上市企业后备库。注重企业核心业务能力提升，培育一批隐形冠军企业、单项冠军企业（产品）和“专精特新”中小企业。实施新一轮“小微企业三年成长计划”，培育发展科技型、成长型小微企业。引导企业主导、参与制定国际标准、国家标准、行业标准及地方标准，培育一批“品字标浙江制造”品牌企业</w:t>
      </w:r>
    </w:p>
    <w:p>
      <w:pPr>
        <w:pStyle w:val="2"/>
        <w:rPr>
          <w:rFonts w:hint="eastAsia" w:ascii="仿宋_GB2312"/>
          <w:sz w:val="32"/>
          <w:szCs w:val="32"/>
        </w:rPr>
      </w:pPr>
    </w:p>
    <w:p>
      <w:pPr>
        <w:pStyle w:val="2"/>
        <w:rPr>
          <w:rFonts w:hint="eastAsia" w:ascii="仿宋_GB2312"/>
          <w:sz w:val="32"/>
          <w:szCs w:val="32"/>
        </w:rPr>
      </w:pPr>
    </w:p>
    <w:p>
      <w:pPr>
        <w:pStyle w:val="2"/>
        <w:rPr>
          <w:rFonts w:hint="eastAsia" w:ascii="仿宋_GB2312"/>
          <w:sz w:val="32"/>
          <w:szCs w:val="32"/>
        </w:rPr>
      </w:pPr>
    </w:p>
    <w:p>
      <w:pPr>
        <w:pStyle w:val="12"/>
        <w:ind w:firstLine="600"/>
        <w:sectPr>
          <w:pgSz w:w="11906" w:h="16838"/>
          <w:pgMar w:top="1440" w:right="1800" w:bottom="1440" w:left="1800" w:header="851" w:footer="992" w:gutter="0"/>
          <w:cols w:space="425" w:num="1"/>
          <w:docGrid w:type="lines" w:linePitch="408" w:charSpace="0"/>
        </w:sectPr>
      </w:pPr>
    </w:p>
    <w:p>
      <w:pPr>
        <w:pStyle w:val="4"/>
        <w:spacing w:line="560" w:lineRule="exact"/>
        <w:ind w:firstLine="602"/>
        <w:contextualSpacing/>
        <w:rPr>
          <w:rFonts w:ascii="楷体_GB2312" w:eastAsia="楷体_GB2312"/>
          <w:color w:val="000000"/>
        </w:rPr>
      </w:pPr>
      <w:bookmarkStart w:id="51" w:name="_Toc25176"/>
      <w:r>
        <w:rPr>
          <w:rFonts w:hint="eastAsia" w:ascii="楷体_GB2312" w:eastAsia="楷体_GB2312"/>
          <w:color w:val="000000"/>
        </w:rPr>
        <w:t>（四）创新引领工程</w:t>
      </w:r>
      <w:bookmarkEnd w:id="51"/>
    </w:p>
    <w:p>
      <w:pPr>
        <w:spacing w:line="560" w:lineRule="exact"/>
        <w:ind w:firstLine="640"/>
        <w:jc w:val="left"/>
        <w:rPr>
          <w:rFonts w:ascii="仿宋_GB2312"/>
          <w:sz w:val="32"/>
          <w:szCs w:val="32"/>
        </w:rPr>
      </w:pPr>
      <w:r>
        <w:rPr>
          <w:rFonts w:hint="eastAsia" w:ascii="仿宋_GB2312"/>
          <w:sz w:val="32"/>
          <w:szCs w:val="32"/>
        </w:rPr>
        <w:t>坚持把发展的着力点放在创新上，加快构建并完善优化生态工业创新生态，大力推进产业创新、科技创新双联动，为全县生态工业高质量发展注入强劲动力。</w:t>
      </w:r>
    </w:p>
    <w:p>
      <w:pPr>
        <w:pStyle w:val="5"/>
        <w:keepNext w:val="0"/>
        <w:keepLines w:val="0"/>
        <w:tabs>
          <w:tab w:val="left" w:pos="3405"/>
        </w:tabs>
        <w:spacing w:line="560" w:lineRule="exact"/>
        <w:ind w:left="643" w:firstLine="0" w:firstLineChars="0"/>
        <w:contextualSpacing/>
        <w:rPr>
          <w:rFonts w:ascii="仿宋_GB2312"/>
          <w:kern w:val="2"/>
          <w:szCs w:val="32"/>
          <w:shd w:val="clear" w:color="auto" w:fill="FFFFFF"/>
        </w:rPr>
      </w:pPr>
      <w:r>
        <w:rPr>
          <w:rFonts w:hint="eastAsia" w:ascii="仿宋_GB2312"/>
          <w:kern w:val="2"/>
          <w:szCs w:val="32"/>
          <w:shd w:val="clear" w:color="auto" w:fill="FFFFFF"/>
        </w:rPr>
        <w:t>1、构建“1+</w:t>
      </w:r>
      <w:r>
        <w:rPr>
          <w:rFonts w:ascii="仿宋_GB2312"/>
          <w:kern w:val="2"/>
          <w:szCs w:val="32"/>
          <w:shd w:val="clear" w:color="auto" w:fill="FFFFFF"/>
        </w:rPr>
        <w:t>4</w:t>
      </w:r>
      <w:r>
        <w:rPr>
          <w:rFonts w:hint="eastAsia" w:ascii="仿宋_GB2312"/>
          <w:kern w:val="2"/>
          <w:szCs w:val="32"/>
          <w:shd w:val="clear" w:color="auto" w:fill="FFFFFF"/>
        </w:rPr>
        <w:t>”生态工业创新平台体系</w:t>
      </w:r>
    </w:p>
    <w:p>
      <w:pPr>
        <w:spacing w:line="560" w:lineRule="exact"/>
        <w:ind w:firstLine="643"/>
        <w:jc w:val="left"/>
        <w:rPr>
          <w:rFonts w:ascii="仿宋_GB2312"/>
          <w:sz w:val="32"/>
          <w:szCs w:val="32"/>
        </w:rPr>
      </w:pPr>
      <w:r>
        <w:rPr>
          <w:rFonts w:hint="eastAsia" w:ascii="仿宋_GB2312"/>
          <w:b/>
          <w:bCs/>
          <w:sz w:val="32"/>
          <w:szCs w:val="32"/>
        </w:rPr>
        <w:t>提升开发区创建省级高新技术产业园区。</w:t>
      </w:r>
      <w:r>
        <w:rPr>
          <w:rFonts w:hint="eastAsia" w:ascii="仿宋_GB2312"/>
          <w:sz w:val="32"/>
          <w:szCs w:val="32"/>
        </w:rPr>
        <w:t>统筹配置优势科技资源，集聚创新要素，谋划并着力建设一批能够真正支撑全县自主研发、创新创业、转化应用和高新产业迅速发展的重大科技创新平台。</w:t>
      </w:r>
      <w:r>
        <w:rPr>
          <w:rFonts w:hint="eastAsia" w:ascii="仿宋_GB2312"/>
          <w:b/>
          <w:bCs/>
          <w:sz w:val="32"/>
          <w:szCs w:val="32"/>
        </w:rPr>
        <w:t>围绕高端不锈钢、高端智控阀门、时尚休闲等重点产业，建设四大产业公共创新服务平台。</w:t>
      </w:r>
      <w:r>
        <w:rPr>
          <w:rFonts w:hint="eastAsia" w:ascii="仿宋_GB2312"/>
          <w:sz w:val="32"/>
          <w:szCs w:val="32"/>
        </w:rPr>
        <w:t>围绕新材料、新工艺和新模式的创新和应用，加快推进集研发设计、检验检测、华侨科技、科技服务、科技金融等功能于一体的</w:t>
      </w:r>
      <w:r>
        <w:rPr>
          <w:rFonts w:hint="eastAsia" w:ascii="仿宋_GB2312"/>
          <w:b/>
          <w:bCs/>
          <w:sz w:val="32"/>
          <w:szCs w:val="32"/>
        </w:rPr>
        <w:t>青田鞋产业创新服务综合体</w:t>
      </w:r>
      <w:r>
        <w:rPr>
          <w:rFonts w:hint="eastAsia" w:ascii="仿宋_GB2312"/>
          <w:sz w:val="32"/>
          <w:szCs w:val="32"/>
        </w:rPr>
        <w:t>。支持与引导国内外有实力的检测机构或龙头企业组建阀门产品质量检测中心，推动建设</w:t>
      </w:r>
      <w:r>
        <w:rPr>
          <w:rFonts w:hint="eastAsia" w:ascii="仿宋_GB2312"/>
          <w:b/>
          <w:bCs/>
          <w:sz w:val="32"/>
          <w:szCs w:val="32"/>
        </w:rPr>
        <w:t>阀门产业服务中心</w:t>
      </w:r>
      <w:r>
        <w:rPr>
          <w:rFonts w:hint="eastAsia" w:ascii="仿宋_GB2312"/>
          <w:sz w:val="32"/>
          <w:szCs w:val="32"/>
        </w:rPr>
        <w:t>。依托青田石雕青创园，加快建设“</w:t>
      </w:r>
      <w:r>
        <w:rPr>
          <w:rFonts w:hint="eastAsia" w:ascii="仿宋_GB2312"/>
          <w:b/>
          <w:bCs/>
          <w:sz w:val="32"/>
          <w:szCs w:val="32"/>
        </w:rPr>
        <w:t>石雕云”工业互联网平台</w:t>
      </w:r>
      <w:r>
        <w:rPr>
          <w:rFonts w:hint="eastAsia" w:ascii="仿宋_GB2312"/>
          <w:sz w:val="32"/>
          <w:szCs w:val="32"/>
        </w:rPr>
        <w:t>，促进石雕产业从传统技术向高新 技术转型，从高端“艺术品”向大众化“商品”延伸。依托县科技创新服务中心，谋划建设</w:t>
      </w:r>
      <w:r>
        <w:rPr>
          <w:rFonts w:hint="eastAsia" w:ascii="仿宋_GB2312"/>
          <w:b/>
          <w:bCs/>
          <w:sz w:val="32"/>
          <w:szCs w:val="32"/>
        </w:rPr>
        <w:t>高端不锈钢产业链协同创新中心</w:t>
      </w:r>
      <w:r>
        <w:rPr>
          <w:rFonts w:hint="eastAsia" w:ascii="仿宋_GB2312"/>
          <w:sz w:val="32"/>
          <w:szCs w:val="32"/>
        </w:rPr>
        <w:t>，聚焦高品质不锈钢原材料开发，联合产业链下游企业，探索由产业需求拉动、以技术应用为导向的协同创新模式。</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2、加快培育三类创新主体</w:t>
      </w:r>
    </w:p>
    <w:p>
      <w:pPr>
        <w:spacing w:line="560" w:lineRule="exact"/>
        <w:ind w:firstLine="643"/>
        <w:jc w:val="left"/>
        <w:rPr>
          <w:rFonts w:ascii="仿宋_GB2312"/>
          <w:sz w:val="32"/>
          <w:szCs w:val="32"/>
        </w:rPr>
      </w:pPr>
      <w:r>
        <w:rPr>
          <w:rFonts w:hint="eastAsia" w:ascii="仿宋_GB2312"/>
          <w:b/>
          <w:bCs/>
          <w:sz w:val="32"/>
          <w:szCs w:val="32"/>
        </w:rPr>
        <w:t>培育一批行业创新领航型企业。</w:t>
      </w:r>
      <w:r>
        <w:rPr>
          <w:rFonts w:hint="eastAsia" w:ascii="仿宋_GB2312"/>
          <w:sz w:val="32"/>
          <w:szCs w:val="32"/>
        </w:rPr>
        <w:t>围绕高端不锈钢、时尚休闲、装备制造、现代服务业等重点领域，筛选一批“苗子企业”，打造一批具有核心关键技术、较大市场占有率、较高品牌价值的“隐形冠军”“小巨人”“独角兽”。</w:t>
      </w:r>
      <w:r>
        <w:rPr>
          <w:rFonts w:hint="eastAsia" w:ascii="仿宋_GB2312"/>
          <w:b/>
          <w:bCs/>
          <w:sz w:val="32"/>
          <w:szCs w:val="32"/>
        </w:rPr>
        <w:t>实施高新技术企业“倍增”计划。</w:t>
      </w:r>
      <w:r>
        <w:rPr>
          <w:rFonts w:hint="eastAsia" w:ascii="仿宋_GB2312"/>
          <w:sz w:val="32"/>
          <w:szCs w:val="32"/>
        </w:rPr>
        <w:t>积极推进高新技术企业培育工作，筛选一批技术含量高、创新能力强、重视产品研发的科技型企业，作为高新技术企业的重点培育对象。落实企业研发费用加计扣除、高新技术企业税收优惠等政策。支持高新技术龙头骨干企业牵头组织实施重大科技项目，开展各类科技创新活动。</w:t>
      </w:r>
      <w:r>
        <w:rPr>
          <w:rFonts w:hint="eastAsia" w:ascii="仿宋_GB2312"/>
          <w:b/>
          <w:bCs/>
          <w:sz w:val="32"/>
          <w:szCs w:val="32"/>
        </w:rPr>
        <w:t>实施科技型企业“倍增”计划。</w:t>
      </w:r>
      <w:r>
        <w:rPr>
          <w:rFonts w:hint="eastAsia" w:ascii="仿宋_GB2312"/>
          <w:sz w:val="32"/>
          <w:szCs w:val="32"/>
        </w:rPr>
        <w:t>建立科技型中小微企业培育库，鼓励科技型企业发展，助推一批发展前景好的科技型企业发展成为高新技术企业，成为创新创业的生力军。支持优势企业成立</w:t>
      </w:r>
      <w:r>
        <w:rPr>
          <w:rFonts w:hint="eastAsia" w:ascii="仿宋_GB2312"/>
          <w:b/>
          <w:bCs/>
          <w:sz w:val="32"/>
          <w:szCs w:val="32"/>
        </w:rPr>
        <w:t>院士工作站、企业研究院（重点）、高新技术企业研发中心、企业技术中心、博士后工作站</w:t>
      </w:r>
      <w:r>
        <w:rPr>
          <w:rFonts w:hint="eastAsia" w:ascii="仿宋_GB2312"/>
          <w:sz w:val="32"/>
          <w:szCs w:val="32"/>
        </w:rPr>
        <w:t>等。</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3、推动创新成果转移转化</w:t>
      </w:r>
    </w:p>
    <w:p>
      <w:pPr>
        <w:spacing w:line="560" w:lineRule="exact"/>
        <w:ind w:firstLine="640"/>
        <w:jc w:val="left"/>
        <w:rPr>
          <w:rFonts w:ascii="仿宋_GB2312"/>
          <w:sz w:val="32"/>
          <w:szCs w:val="32"/>
        </w:rPr>
      </w:pPr>
      <w:r>
        <w:rPr>
          <w:rFonts w:hint="eastAsia" w:ascii="仿宋_GB2312"/>
          <w:sz w:val="32"/>
          <w:szCs w:val="32"/>
        </w:rPr>
        <w:t>发挥各类科技成果转化服务机构的作用，形成</w:t>
      </w:r>
      <w:r>
        <w:rPr>
          <w:rFonts w:hint="eastAsia" w:ascii="仿宋_GB2312"/>
          <w:b/>
          <w:bCs/>
          <w:sz w:val="32"/>
          <w:szCs w:val="32"/>
        </w:rPr>
        <w:t>一站式技术转移和科技成果转化产业化的创新服务链</w:t>
      </w:r>
      <w:r>
        <w:rPr>
          <w:rFonts w:hint="eastAsia" w:ascii="仿宋_GB2312"/>
          <w:sz w:val="32"/>
          <w:szCs w:val="32"/>
        </w:rPr>
        <w:t>。强化青田县网上技术市场建设，推进</w:t>
      </w:r>
      <w:r>
        <w:rPr>
          <w:rFonts w:hint="eastAsia" w:ascii="仿宋_GB2312"/>
          <w:b/>
          <w:bCs/>
          <w:sz w:val="32"/>
          <w:szCs w:val="32"/>
        </w:rPr>
        <w:t>科技中介机构企业化运作</w:t>
      </w:r>
      <w:r>
        <w:rPr>
          <w:rFonts w:hint="eastAsia" w:ascii="仿宋_GB2312"/>
          <w:sz w:val="32"/>
          <w:szCs w:val="32"/>
        </w:rPr>
        <w:t>，培育集聚一批技术交易、咨询评估、科技金融、研发设计、知识产权等方面的科技中介服务机构，构建科技成果深度信息发布、交流平台，强化科技成果信息的有效供给和共享。鼓励技术中介服务机构围绕科技成果的</w:t>
      </w:r>
      <w:r>
        <w:rPr>
          <w:rFonts w:hint="eastAsia" w:ascii="仿宋_GB2312"/>
          <w:b/>
          <w:bCs/>
          <w:sz w:val="32"/>
          <w:szCs w:val="32"/>
        </w:rPr>
        <w:t>所有权转让、专利技术许可、专有技术许可、组合许可等，开展许可证贸易、有偿技术咨询、技术服务与技术协助</w:t>
      </w:r>
      <w:r>
        <w:rPr>
          <w:rFonts w:hint="eastAsia" w:ascii="仿宋_GB2312"/>
          <w:sz w:val="32"/>
          <w:szCs w:val="32"/>
        </w:rPr>
        <w:t>等，促进技术知识产权在产学研用各方合理、快速地流动和转移，实现科技成果和专利技术的产业化转化。设立</w:t>
      </w:r>
      <w:r>
        <w:rPr>
          <w:rFonts w:hint="eastAsia" w:ascii="仿宋_GB2312"/>
          <w:b/>
          <w:bCs/>
          <w:sz w:val="32"/>
          <w:szCs w:val="32"/>
        </w:rPr>
        <w:t>青田县科技成果转化引导基金</w:t>
      </w:r>
      <w:r>
        <w:rPr>
          <w:rFonts w:hint="eastAsia" w:ascii="仿宋_GB2312"/>
          <w:sz w:val="32"/>
          <w:szCs w:val="32"/>
        </w:rPr>
        <w:t>，通过市场化运作，吸引风险资本和社会资金共同设立转化投资子基金，对科技型中小微企业、高新技术企业进行股权投资，实现科技成果转移转化。开</w:t>
      </w:r>
      <w:r>
        <w:rPr>
          <w:rFonts w:hint="eastAsia" w:ascii="仿宋_GB2312"/>
          <w:b/>
          <w:bCs/>
          <w:sz w:val="32"/>
          <w:szCs w:val="32"/>
        </w:rPr>
        <w:t>展科技成果与创业资本对接</w:t>
      </w:r>
      <w:r>
        <w:rPr>
          <w:rFonts w:hint="eastAsia" w:ascii="仿宋_GB2312"/>
          <w:sz w:val="32"/>
          <w:szCs w:val="32"/>
        </w:rPr>
        <w:t>服务，组织创业投资、股权投资、银行、担保、券商等机构，与中小企业、高校院所开展技术研发、成果转化对接，对处于研究开发、中试、产业化等不同阶段的科技成果，引导天使投资、种子基金注入和产业化金融支持及融资担保，建立科技金融风险管理机制。</w:t>
      </w:r>
    </w:p>
    <w:p>
      <w:pPr>
        <w:pStyle w:val="5"/>
        <w:keepNext w:val="0"/>
        <w:keepLines w:val="0"/>
        <w:tabs>
          <w:tab w:val="left" w:pos="3405"/>
        </w:tabs>
        <w:spacing w:line="560" w:lineRule="exact"/>
        <w:ind w:firstLine="643"/>
        <w:contextualSpacing/>
        <w:rPr>
          <w:rFonts w:ascii="仿宋_GB2312"/>
          <w:kern w:val="2"/>
          <w:szCs w:val="32"/>
          <w:shd w:val="clear" w:color="auto" w:fill="FFFFFF"/>
        </w:rPr>
      </w:pPr>
      <w:r>
        <w:rPr>
          <w:rFonts w:hint="eastAsia" w:ascii="仿宋_GB2312"/>
          <w:kern w:val="2"/>
          <w:szCs w:val="32"/>
          <w:shd w:val="clear" w:color="auto" w:fill="FFFFFF"/>
        </w:rPr>
        <w:t>4、完善生态工业新产品推广应用体系</w:t>
      </w:r>
    </w:p>
    <w:p>
      <w:pPr>
        <w:spacing w:line="560" w:lineRule="exact"/>
        <w:ind w:firstLine="640"/>
        <w:jc w:val="left"/>
        <w:rPr>
          <w:rFonts w:hint="eastAsia" w:ascii="仿宋_GB2312"/>
          <w:sz w:val="32"/>
          <w:szCs w:val="32"/>
        </w:rPr>
      </w:pPr>
      <w:r>
        <w:rPr>
          <w:rFonts w:hint="eastAsia" w:ascii="仿宋_GB2312"/>
          <w:sz w:val="32"/>
          <w:szCs w:val="32"/>
        </w:rPr>
        <w:t>鼓励以技术、管理等生产要素参与</w:t>
      </w:r>
      <w:r>
        <w:rPr>
          <w:rFonts w:hint="eastAsia" w:ascii="仿宋_GB2312"/>
          <w:b/>
          <w:bCs/>
          <w:sz w:val="32"/>
          <w:szCs w:val="32"/>
        </w:rPr>
        <w:t>收益分配</w:t>
      </w:r>
      <w:r>
        <w:rPr>
          <w:rFonts w:hint="eastAsia" w:ascii="仿宋_GB2312"/>
          <w:sz w:val="32"/>
          <w:szCs w:val="32"/>
        </w:rPr>
        <w:t>，应用科技成果和专利技术创办科技型中小微企业的，知识产权等无形资产入股比例可达70%以上。制定</w:t>
      </w:r>
      <w:r>
        <w:rPr>
          <w:rFonts w:hint="eastAsia" w:ascii="仿宋_GB2312"/>
          <w:b/>
          <w:bCs/>
          <w:sz w:val="32"/>
          <w:szCs w:val="32"/>
        </w:rPr>
        <w:t>促进首台套（首批次、首版次）产品应用的政策</w:t>
      </w:r>
      <w:r>
        <w:rPr>
          <w:rFonts w:hint="eastAsia" w:ascii="仿宋_GB2312"/>
          <w:sz w:val="32"/>
          <w:szCs w:val="32"/>
        </w:rPr>
        <w:t>措施。依托政府基础设施建设等工程，</w:t>
      </w:r>
      <w:r>
        <w:rPr>
          <w:rFonts w:hint="eastAsia" w:ascii="仿宋_GB2312"/>
          <w:b/>
          <w:bCs/>
          <w:sz w:val="32"/>
          <w:szCs w:val="32"/>
        </w:rPr>
        <w:t>开展自主创新产品应用</w:t>
      </w:r>
      <w:r>
        <w:rPr>
          <w:rFonts w:hint="eastAsia" w:ascii="仿宋_GB2312"/>
          <w:sz w:val="32"/>
          <w:szCs w:val="32"/>
        </w:rPr>
        <w:t>。支持、鼓励企业产品列入国家、省</w:t>
      </w:r>
      <w:r>
        <w:rPr>
          <w:rFonts w:hint="eastAsia" w:ascii="仿宋_GB2312"/>
          <w:b/>
          <w:bCs/>
          <w:sz w:val="32"/>
          <w:szCs w:val="32"/>
        </w:rPr>
        <w:t>首台（套）重大技术装备推广应用指导目录</w:t>
      </w:r>
      <w:r>
        <w:rPr>
          <w:rFonts w:hint="eastAsia" w:ascii="仿宋_GB2312"/>
          <w:sz w:val="32"/>
          <w:szCs w:val="32"/>
        </w:rPr>
        <w:t>。</w:t>
      </w:r>
    </w:p>
    <w:p>
      <w:r>
        <w:br w:type="page"/>
      </w:r>
    </w:p>
    <w:p>
      <w:pPr>
        <w:pStyle w:val="4"/>
        <w:spacing w:line="560" w:lineRule="exact"/>
        <w:ind w:firstLine="602"/>
        <w:contextualSpacing/>
        <w:rPr>
          <w:rFonts w:ascii="楷体_GB2312" w:eastAsia="楷体_GB2312"/>
          <w:color w:val="000000"/>
        </w:rPr>
      </w:pPr>
      <w:bookmarkStart w:id="52" w:name="_Toc735"/>
      <w:r>
        <w:rPr>
          <w:rFonts w:hint="eastAsia" w:ascii="楷体_GB2312" w:eastAsia="楷体_GB2312"/>
          <w:color w:val="000000"/>
        </w:rPr>
        <w:t>（</w:t>
      </w:r>
      <w:r>
        <w:rPr>
          <w:rFonts w:hint="eastAsia" w:ascii="楷体_GB2312" w:eastAsia="楷体_GB2312"/>
          <w:color w:val="000000"/>
          <w:lang w:val="en-US" w:eastAsia="zh-CN"/>
        </w:rPr>
        <w:t>五</w:t>
      </w:r>
      <w:r>
        <w:rPr>
          <w:rFonts w:hint="eastAsia" w:ascii="楷体_GB2312" w:eastAsia="楷体_GB2312"/>
          <w:color w:val="000000"/>
        </w:rPr>
        <w:t>）</w:t>
      </w:r>
      <w:r>
        <w:rPr>
          <w:rFonts w:hint="eastAsia" w:ascii="楷体_GB2312" w:eastAsia="楷体_GB2312"/>
          <w:color w:val="000000"/>
          <w:lang w:val="en-US" w:eastAsia="zh-CN"/>
        </w:rPr>
        <w:t>绿色低碳</w:t>
      </w:r>
      <w:r>
        <w:rPr>
          <w:rFonts w:hint="eastAsia" w:ascii="楷体_GB2312" w:eastAsia="楷体_GB2312"/>
          <w:color w:val="000000"/>
        </w:rPr>
        <w:t>工程</w:t>
      </w:r>
      <w:bookmarkEnd w:id="52"/>
    </w:p>
    <w:p>
      <w:pPr>
        <w:pStyle w:val="5"/>
        <w:keepNext w:val="0"/>
        <w:keepLines w:val="0"/>
        <w:tabs>
          <w:tab w:val="left" w:pos="3405"/>
        </w:tabs>
        <w:spacing w:line="560" w:lineRule="exact"/>
        <w:ind w:firstLine="643"/>
        <w:contextualSpacing/>
        <w:rPr>
          <w:rFonts w:hint="default" w:ascii="仿宋_GB2312"/>
          <w:kern w:val="2"/>
          <w:szCs w:val="32"/>
          <w:shd w:val="clear" w:color="auto" w:fill="FFFFFF"/>
          <w:lang w:val="en-US" w:eastAsia="zh-CN"/>
        </w:rPr>
      </w:pPr>
      <w:r>
        <w:rPr>
          <w:rFonts w:hint="eastAsia" w:ascii="仿宋_GB2312"/>
          <w:kern w:val="2"/>
          <w:szCs w:val="32"/>
          <w:shd w:val="clear" w:color="auto" w:fill="FFFFFF"/>
          <w:lang w:val="en-US" w:eastAsia="zh-CN"/>
        </w:rPr>
        <w:t>1、大力推进工业节能降碳</w:t>
      </w:r>
    </w:p>
    <w:p>
      <w:pPr>
        <w:spacing w:line="560" w:lineRule="exact"/>
        <w:ind w:firstLine="640"/>
        <w:jc w:val="left"/>
        <w:rPr>
          <w:rFonts w:hint="eastAsia" w:ascii="仿宋_GB2312"/>
          <w:kern w:val="2"/>
          <w:szCs w:val="32"/>
          <w:shd w:val="clear" w:color="auto" w:fill="FFFFFF"/>
          <w:lang w:val="en-US" w:eastAsia="zh-CN"/>
        </w:rPr>
      </w:pPr>
      <w:r>
        <w:rPr>
          <w:rFonts w:hint="eastAsia" w:ascii="仿宋_GB2312"/>
          <w:b/>
          <w:bCs/>
          <w:kern w:val="2"/>
          <w:szCs w:val="32"/>
          <w:shd w:val="clear" w:color="auto" w:fill="FFFFFF"/>
          <w:lang w:val="en-US" w:eastAsia="zh-CN"/>
        </w:rPr>
        <w:t>加快重点行业低碳转型，</w:t>
      </w:r>
      <w:r>
        <w:rPr>
          <w:rFonts w:hint="eastAsia" w:ascii="仿宋_GB2312"/>
          <w:b w:val="0"/>
          <w:bCs/>
          <w:kern w:val="2"/>
          <w:szCs w:val="32"/>
          <w:shd w:val="clear" w:color="auto" w:fill="FFFFFF"/>
          <w:lang w:val="en-US" w:eastAsia="zh-CN"/>
        </w:rPr>
        <w:t>以碳达峰碳中和目标为导向，深入落实国家2030年前碳排放达峰行动方案，明确钢铁等重点行业低碳发展路径及重点任务，有序引导电弧炉短流程炼钢工艺发展，优化原燃料结构，推动钢铁生产副产资源能源与建材、石化化工等行业深度耦合。推广应用碳捕集、利用和封存技术，加强重点温室气体排放控制。</w:t>
      </w:r>
      <w:r>
        <w:rPr>
          <w:rFonts w:hint="eastAsia" w:ascii="仿宋_GB2312"/>
          <w:b/>
          <w:bCs w:val="0"/>
          <w:kern w:val="2"/>
          <w:szCs w:val="32"/>
          <w:shd w:val="clear" w:color="auto" w:fill="FFFFFF"/>
          <w:lang w:val="en-US" w:eastAsia="zh-CN"/>
        </w:rPr>
        <w:t>促进工业能源消费低碳化，</w:t>
      </w:r>
      <w:r>
        <w:rPr>
          <w:rFonts w:hint="eastAsia" w:ascii="仿宋_GB2312"/>
          <w:b w:val="0"/>
          <w:bCs/>
          <w:kern w:val="2"/>
          <w:szCs w:val="32"/>
          <w:shd w:val="clear" w:color="auto" w:fill="FFFFFF"/>
          <w:lang w:val="en-US" w:eastAsia="zh-CN"/>
        </w:rPr>
        <w:t>推动煤炭等化石能源清洁高效利用与多元替代，推动氢能、生物燃料、合成原料、垃圾衍生燃料等替代能源在钢铁、水泥、化工等领域实现规模化应用。推进工业高效利用可再生能源，持续提高水电、光伏、风电等可再生能源使用比例。开展工业绿色低碳微电网建设，推进多能高效互补利用。加强冶金等工业高温烟气回收与低品位余能高效利用，推动工业余热余能梯级和多能互补综合利用。</w:t>
      </w:r>
      <w:r>
        <w:rPr>
          <w:rFonts w:hint="eastAsia" w:ascii="仿宋_GB2312"/>
          <w:b/>
          <w:bCs w:val="0"/>
          <w:kern w:val="2"/>
          <w:szCs w:val="32"/>
          <w:shd w:val="clear" w:color="auto" w:fill="FFFFFF"/>
          <w:lang w:val="en-US" w:eastAsia="zh-CN"/>
        </w:rPr>
        <w:t>推进系统节能和能效提升</w:t>
      </w:r>
      <w:r>
        <w:rPr>
          <w:rFonts w:hint="eastAsia" w:ascii="仿宋_GB2312"/>
          <w:b w:val="0"/>
          <w:bCs/>
          <w:kern w:val="2"/>
          <w:szCs w:val="32"/>
          <w:shd w:val="clear" w:color="auto" w:fill="FFFFFF"/>
          <w:lang w:val="en-US" w:eastAsia="zh-CN"/>
        </w:rPr>
        <w:t>，加快节能技术创新和应用，支持富氧冶金、高效储能材料等先进工艺技术研发，大力推广节能技术装备和产品，持续推进典型流程型行业界面节能和能量系统优化。</w:t>
      </w:r>
    </w:p>
    <w:p>
      <w:pPr>
        <w:pStyle w:val="5"/>
        <w:keepNext w:val="0"/>
        <w:keepLines w:val="0"/>
        <w:tabs>
          <w:tab w:val="left" w:pos="3405"/>
        </w:tabs>
        <w:spacing w:line="560" w:lineRule="exact"/>
        <w:ind w:firstLine="643"/>
        <w:contextualSpacing/>
        <w:rPr>
          <w:rFonts w:hint="eastAsia" w:ascii="仿宋_GB2312"/>
          <w:kern w:val="2"/>
          <w:szCs w:val="32"/>
          <w:shd w:val="clear" w:color="auto" w:fill="FFFFFF"/>
          <w:lang w:val="en-US" w:eastAsia="zh-CN"/>
        </w:rPr>
      </w:pPr>
      <w:r>
        <w:rPr>
          <w:rFonts w:hint="eastAsia" w:ascii="仿宋_GB2312"/>
          <w:kern w:val="2"/>
          <w:szCs w:val="32"/>
          <w:shd w:val="clear" w:color="auto" w:fill="FFFFFF"/>
          <w:lang w:val="en-US" w:eastAsia="zh-CN"/>
        </w:rPr>
        <w:t>2、大幅提高资源利用效率</w:t>
      </w:r>
    </w:p>
    <w:p>
      <w:pPr>
        <w:pStyle w:val="5"/>
        <w:keepNext w:val="0"/>
        <w:keepLines w:val="0"/>
        <w:tabs>
          <w:tab w:val="left" w:pos="3405"/>
        </w:tabs>
        <w:spacing w:line="560" w:lineRule="exact"/>
        <w:ind w:firstLine="643"/>
        <w:contextualSpacing/>
        <w:rPr>
          <w:rFonts w:hint="eastAsia"/>
          <w:b w:val="0"/>
          <w:bCs/>
          <w:lang w:val="en-US" w:eastAsia="zh-CN"/>
        </w:rPr>
      </w:pPr>
      <w:r>
        <w:rPr>
          <w:rFonts w:hint="eastAsia" w:ascii="仿宋_GB2312"/>
          <w:kern w:val="2"/>
          <w:szCs w:val="32"/>
          <w:shd w:val="clear" w:color="auto" w:fill="FFFFFF"/>
          <w:lang w:val="en-US" w:eastAsia="zh-CN"/>
        </w:rPr>
        <w:t>建设</w:t>
      </w:r>
      <w:r>
        <w:rPr>
          <w:rFonts w:hint="eastAsia" w:ascii="仿宋_GB2312"/>
          <w:kern w:val="2"/>
          <w:szCs w:val="32"/>
          <w:shd w:val="clear" w:color="auto" w:fill="FFFFFF"/>
        </w:rPr>
        <w:t>循环化园区</w:t>
      </w:r>
      <w:r>
        <w:rPr>
          <w:rFonts w:hint="eastAsia" w:ascii="仿宋_GB2312"/>
          <w:kern w:val="2"/>
          <w:szCs w:val="32"/>
          <w:shd w:val="clear" w:color="auto" w:fill="FFFFFF"/>
          <w:lang w:eastAsia="zh-CN"/>
        </w:rPr>
        <w:t>。</w:t>
      </w:r>
      <w:r>
        <w:rPr>
          <w:rFonts w:hint="eastAsia"/>
          <w:b w:val="0"/>
          <w:bCs/>
          <w:lang w:val="en-US" w:eastAsia="zh-CN"/>
        </w:rPr>
        <w:t>以智能创新小镇、戈溪不锈钢产业园、青田石雕小镇、黄垟等园区为重点，推行园区综合能源资源一体化解决方案，深化园区循环化改造，加速实现园区能源梯级利用、水资源循环利用、废物交换利用和土地节约集约利用，推进绿色工业园区建设。</w:t>
      </w:r>
      <w:r>
        <w:rPr>
          <w:rFonts w:hint="eastAsia"/>
          <w:b/>
          <w:bCs w:val="0"/>
          <w:lang w:val="en-US" w:eastAsia="zh-CN"/>
        </w:rPr>
        <w:t>推动工业固废源头减量和综合利用，</w:t>
      </w:r>
      <w:r>
        <w:rPr>
          <w:rFonts w:hint="eastAsia"/>
          <w:b w:val="0"/>
          <w:bCs/>
          <w:lang w:val="en-US" w:eastAsia="zh-CN"/>
        </w:rPr>
        <w:t>对照限期淘汰产生严重污染环境的工业固废的落后工艺设备名录，指导工业企业加快绿色升级改造，有序淘汰落后产能，</w:t>
      </w:r>
      <w:r>
        <w:rPr>
          <w:rFonts w:hint="eastAsia" w:ascii="仿宋_GB2312"/>
          <w:b w:val="0"/>
          <w:bCs/>
          <w:kern w:val="2"/>
          <w:szCs w:val="32"/>
          <w:shd w:val="clear" w:color="auto" w:fill="FFFFFF"/>
          <w:lang w:val="en-US" w:eastAsia="zh-CN"/>
        </w:rPr>
        <w:t>降低</w:t>
      </w:r>
      <w:r>
        <w:rPr>
          <w:rFonts w:hint="eastAsia"/>
          <w:b w:val="0"/>
          <w:bCs/>
          <w:lang w:val="en-US" w:eastAsia="zh-CN"/>
        </w:rPr>
        <w:t>工业固废产生强度。鼓励有条件的地区结合实际制定本地区落后工艺设备淘汰名录。研究制定重点行业工业固废减量化工作方案，明确工业固废减量化路径和重点任务，加强可循环、可降解材料及产品开发应用推广。</w:t>
      </w:r>
      <w:r>
        <w:rPr>
          <w:rFonts w:hint="eastAsia"/>
          <w:b/>
          <w:bCs w:val="0"/>
          <w:lang w:val="en-US" w:eastAsia="zh-CN"/>
        </w:rPr>
        <w:t>促进水资源高效循环化利用，</w:t>
      </w:r>
      <w:r>
        <w:rPr>
          <w:rFonts w:hint="eastAsia"/>
          <w:b w:val="0"/>
          <w:bCs/>
          <w:lang w:val="en-US" w:eastAsia="zh-CN"/>
        </w:rPr>
        <w:t>鼓励钢铁、纺织等重点行业和工业园区加大对市政污水、海水、雨水、矿井水等非常规水的利用，减少新水取用量。推动建立高用水企业、园区智慧用水管理系统。定期遴选水效领跑者，评选节水标杆企业和工业园区。组织开展企业内部废水利用，创建一批工业废水循环利用示范企业、园区。</w:t>
      </w:r>
    </w:p>
    <w:p>
      <w:pPr>
        <w:pStyle w:val="5"/>
        <w:keepNext w:val="0"/>
        <w:keepLines w:val="0"/>
        <w:tabs>
          <w:tab w:val="left" w:pos="3405"/>
        </w:tabs>
        <w:spacing w:line="560" w:lineRule="exact"/>
        <w:ind w:firstLine="643"/>
        <w:contextualSpacing/>
        <w:rPr>
          <w:rFonts w:hint="eastAsia"/>
          <w:b/>
          <w:bCs w:val="0"/>
          <w:lang w:val="en-US" w:eastAsia="zh-CN"/>
        </w:rPr>
      </w:pPr>
      <w:r>
        <w:rPr>
          <w:rFonts w:hint="eastAsia"/>
          <w:b/>
          <w:bCs w:val="0"/>
          <w:lang w:val="en-US" w:eastAsia="zh-CN"/>
        </w:rPr>
        <w:t>3、全面推进绿色制造体系建设</w:t>
      </w:r>
    </w:p>
    <w:p>
      <w:pPr>
        <w:pStyle w:val="5"/>
        <w:keepNext w:val="0"/>
        <w:keepLines w:val="0"/>
        <w:tabs>
          <w:tab w:val="left" w:pos="3405"/>
        </w:tabs>
        <w:spacing w:line="560" w:lineRule="exact"/>
        <w:ind w:firstLine="643"/>
        <w:contextualSpacing/>
        <w:rPr>
          <w:rFonts w:hint="eastAsia"/>
          <w:b w:val="0"/>
          <w:bCs/>
          <w:lang w:val="en-US" w:eastAsia="zh-CN"/>
        </w:rPr>
      </w:pPr>
      <w:r>
        <w:rPr>
          <w:rFonts w:hint="eastAsia"/>
          <w:b/>
          <w:bCs w:val="0"/>
          <w:lang w:val="en-US" w:eastAsia="zh-CN"/>
        </w:rPr>
        <w:t>大力推行工业产品绿色设计，</w:t>
      </w:r>
      <w:r>
        <w:rPr>
          <w:rFonts w:hint="eastAsia"/>
          <w:b w:val="0"/>
          <w:bCs/>
          <w:lang w:val="en-US" w:eastAsia="zh-CN"/>
        </w:rPr>
        <w:t>创建绿色设计示范企业，探索行业绿色设计路径，加大绿色设计应用，大力开发绿色产品，全面打造绿色制造先进典型。</w:t>
      </w:r>
      <w:r>
        <w:rPr>
          <w:rFonts w:hint="eastAsia"/>
          <w:b/>
          <w:bCs w:val="0"/>
          <w:lang w:val="en-US" w:eastAsia="zh-CN"/>
        </w:rPr>
        <w:t>广泛建设绿色工厂</w:t>
      </w:r>
      <w:r>
        <w:rPr>
          <w:rFonts w:hint="eastAsia"/>
          <w:b w:val="0"/>
          <w:bCs/>
          <w:lang w:val="en-US" w:eastAsia="zh-CN"/>
        </w:rPr>
        <w:t>，推动企业加快低效设备淘汰与高效替代，提升基础计量能力和能源环境综合管理提升，实施卓越绩效管理，持续提高能源资源利用效率。</w:t>
      </w:r>
      <w:r>
        <w:rPr>
          <w:rFonts w:hint="eastAsia"/>
          <w:b/>
          <w:bCs w:val="0"/>
          <w:lang w:val="en-US" w:eastAsia="zh-CN"/>
        </w:rPr>
        <w:t>持续打造绿色工业园区</w:t>
      </w:r>
      <w:r>
        <w:rPr>
          <w:rFonts w:hint="eastAsia"/>
          <w:b w:val="0"/>
          <w:bCs/>
          <w:lang w:val="en-US" w:eastAsia="zh-CN"/>
        </w:rPr>
        <w:t>，推动园区能源梯级利用、废物综合利用、水资源高效循环利用，构建低碳零碳导向的资源能源体系、循环经济产业链。</w:t>
      </w:r>
      <w:r>
        <w:rPr>
          <w:rFonts w:hint="eastAsia"/>
          <w:b/>
          <w:bCs w:val="0"/>
          <w:lang w:val="en-US" w:eastAsia="zh-CN"/>
        </w:rPr>
        <w:t>加快建立绿色供应链，</w:t>
      </w:r>
      <w:r>
        <w:rPr>
          <w:rFonts w:hint="eastAsia"/>
          <w:b w:val="0"/>
          <w:bCs/>
          <w:lang w:val="en-US" w:eastAsia="zh-CN"/>
        </w:rPr>
        <w:t>鼓励行业龙头企业构建数据支撑、网络共享、智能协作的绿色供应链管理体系，将绿色低碳理念贯穿产品设计、采购、生产、销售、回收处理和再利用全过程。</w:t>
      </w:r>
      <w:r>
        <w:rPr>
          <w:rFonts w:hint="eastAsia"/>
          <w:b/>
          <w:bCs w:val="0"/>
          <w:lang w:val="en-US" w:eastAsia="zh-CN"/>
        </w:rPr>
        <w:t>深入实施清洁生产，</w:t>
      </w:r>
      <w:r>
        <w:rPr>
          <w:rFonts w:hint="eastAsia"/>
          <w:b w:val="0"/>
          <w:bCs/>
          <w:lang w:val="en-US" w:eastAsia="zh-CN"/>
        </w:rPr>
        <w:t>强化有害物质使用源头管控，推进重点行业生产过程清洁化，实施高效治理装备升级改造，深入推进钢铁行业超低排放改造，稳步推进水泥行业超低排放改造。开展废气回收和资源利用研究，降低废气中可燃组分排放、可利用元素及热量损失。选择烟气排放量大、排放成分复杂的重点行业开展多污染物协同控制应用示范。</w:t>
      </w:r>
    </w:p>
    <w:p>
      <w:pPr>
        <w:pStyle w:val="2"/>
      </w:pPr>
    </w:p>
    <w:p>
      <w:pPr>
        <w:pStyle w:val="29"/>
        <w:spacing w:line="560" w:lineRule="exact"/>
        <w:ind w:firstLine="640"/>
        <w:rPr>
          <w:sz w:val="32"/>
          <w:szCs w:val="32"/>
        </w:rPr>
        <w:sectPr>
          <w:pgSz w:w="11906" w:h="16838"/>
          <w:pgMar w:top="1440" w:right="1800" w:bottom="1440" w:left="1800" w:header="851" w:footer="992" w:gutter="0"/>
          <w:cols w:space="425" w:num="1"/>
          <w:docGrid w:type="lines" w:linePitch="408" w:charSpace="0"/>
        </w:sectPr>
      </w:pPr>
    </w:p>
    <w:p>
      <w:pPr>
        <w:pStyle w:val="29"/>
        <w:spacing w:line="560" w:lineRule="exact"/>
        <w:ind w:firstLine="0" w:firstLineChars="0"/>
        <w:rPr>
          <w:sz w:val="32"/>
          <w:szCs w:val="32"/>
        </w:rPr>
      </w:pPr>
      <w:bookmarkStart w:id="53" w:name="_Toc15746"/>
      <w:r>
        <w:rPr>
          <w:rFonts w:hint="eastAsia"/>
          <w:sz w:val="32"/>
          <w:szCs w:val="32"/>
        </w:rPr>
        <w:t>六、重点举措</w:t>
      </w:r>
      <w:bookmarkEnd w:id="53"/>
    </w:p>
    <w:p>
      <w:pPr>
        <w:spacing w:line="560" w:lineRule="exact"/>
        <w:ind w:firstLine="640"/>
        <w:rPr>
          <w:rFonts w:ascii="仿宋_GB2312"/>
          <w:sz w:val="32"/>
          <w:szCs w:val="32"/>
        </w:rPr>
      </w:pPr>
      <w:r>
        <w:rPr>
          <w:rFonts w:hint="eastAsia" w:ascii="仿宋_GB2312"/>
          <w:sz w:val="32"/>
          <w:szCs w:val="32"/>
        </w:rPr>
        <w:t>聚焦便利化、数字化、市场化、法治化、国际化，以并联办事简化流程为方向，破除不合理体制机制障碍，增强市场主体活力，优化要素配置效率，进一步优化营商环境。</w:t>
      </w:r>
    </w:p>
    <w:p>
      <w:pPr>
        <w:pStyle w:val="4"/>
        <w:spacing w:line="560" w:lineRule="exact"/>
        <w:ind w:firstLine="602"/>
        <w:contextualSpacing/>
        <w:rPr>
          <w:rFonts w:ascii="楷体_GB2312" w:eastAsia="楷体_GB2312"/>
          <w:color w:val="000000"/>
        </w:rPr>
      </w:pPr>
      <w:bookmarkStart w:id="54" w:name="_Toc61599232"/>
      <w:bookmarkStart w:id="55" w:name="_Toc20447"/>
      <w:bookmarkStart w:id="56" w:name="_Toc1030"/>
      <w:r>
        <w:rPr>
          <w:rFonts w:hint="eastAsia" w:ascii="楷体_GB2312" w:eastAsia="楷体_GB2312"/>
          <w:color w:val="000000"/>
        </w:rPr>
        <w:t>（一）深化治理方式创新</w:t>
      </w:r>
      <w:bookmarkEnd w:id="54"/>
      <w:bookmarkEnd w:id="55"/>
    </w:p>
    <w:p>
      <w:pPr>
        <w:spacing w:line="560" w:lineRule="exact"/>
        <w:ind w:firstLine="640"/>
        <w:rPr>
          <w:rFonts w:ascii="仿宋_GB2312"/>
          <w:sz w:val="32"/>
          <w:szCs w:val="32"/>
        </w:rPr>
      </w:pPr>
      <w:r>
        <w:rPr>
          <w:rFonts w:hint="eastAsia" w:ascii="仿宋_GB2312"/>
          <w:sz w:val="32"/>
          <w:szCs w:val="32"/>
        </w:rPr>
        <w:t>深化“精准服务企业、振兴实体经济”专项行动，建立涉企政策兑现“直通车”，搭建涉企“一站式”综合服务平台。深入开展优化营商环境“10+N”行动，打造更加稳定公平透明可预期的市场环境。健全县领导“一联八”、联席会议、驻企服务员、涉企政策共商制定等制度，优化政策执行方式，完善企业信用体系建设。建好企业投资项目绿色通道，实行专业化代办服务，确保审批全流程“最多跑一次、最多80天”。建立健全督促考核机制，突出考评质量效益、绿色发展和结构调整等。</w:t>
      </w:r>
    </w:p>
    <w:p>
      <w:pPr>
        <w:pStyle w:val="4"/>
        <w:spacing w:line="560" w:lineRule="exact"/>
        <w:ind w:firstLine="602"/>
        <w:contextualSpacing/>
        <w:rPr>
          <w:rFonts w:ascii="楷体_GB2312" w:eastAsia="楷体_GB2312"/>
          <w:color w:val="000000"/>
        </w:rPr>
      </w:pPr>
      <w:bookmarkStart w:id="57" w:name="_Toc19754"/>
      <w:bookmarkStart w:id="58" w:name="_Toc61599233"/>
      <w:r>
        <w:rPr>
          <w:rFonts w:hint="eastAsia" w:ascii="楷体_GB2312" w:eastAsia="楷体_GB2312"/>
          <w:color w:val="000000"/>
        </w:rPr>
        <w:t>（二）实施精准有力财政政策</w:t>
      </w:r>
      <w:bookmarkEnd w:id="57"/>
      <w:bookmarkEnd w:id="58"/>
    </w:p>
    <w:bookmarkEnd w:id="56"/>
    <w:p>
      <w:pPr>
        <w:spacing w:line="560" w:lineRule="exact"/>
        <w:ind w:firstLine="640"/>
        <w:rPr>
          <w:rFonts w:ascii="仿宋_GB2312"/>
          <w:sz w:val="32"/>
          <w:szCs w:val="32"/>
        </w:rPr>
      </w:pPr>
      <w:r>
        <w:rPr>
          <w:rFonts w:hint="eastAsia" w:ascii="仿宋_GB2312"/>
          <w:sz w:val="32"/>
          <w:szCs w:val="32"/>
        </w:rPr>
        <w:t>全面落实中央、省、市有关减负担降成本的政策和县里有关企业扶持政策，重点支持制造业企业机器换人、科技研发、企业培育等工作。研究制定技术改造普惠性事后奖补政策、重大科技成果和发明人配套奖励政策。加大对企业重大技术装备首台（套）、新材料首批次、软件首版次产品研制和应用支持力度。</w:t>
      </w:r>
    </w:p>
    <w:p>
      <w:pPr>
        <w:pStyle w:val="4"/>
        <w:spacing w:line="560" w:lineRule="exact"/>
        <w:ind w:firstLine="602"/>
        <w:contextualSpacing/>
        <w:rPr>
          <w:rFonts w:ascii="楷体_GB2312" w:eastAsia="楷体_GB2312"/>
          <w:color w:val="000000"/>
        </w:rPr>
      </w:pPr>
      <w:bookmarkStart w:id="59" w:name="_Toc61599234"/>
      <w:bookmarkStart w:id="60" w:name="_Toc1686"/>
      <w:r>
        <w:rPr>
          <w:rFonts w:hint="eastAsia" w:ascii="楷体_GB2312" w:eastAsia="楷体_GB2312"/>
          <w:color w:val="000000"/>
        </w:rPr>
        <w:t>（三）加大金融支持力度</w:t>
      </w:r>
      <w:bookmarkEnd w:id="59"/>
      <w:bookmarkEnd w:id="60"/>
    </w:p>
    <w:p>
      <w:pPr>
        <w:spacing w:line="560" w:lineRule="exact"/>
        <w:ind w:firstLine="640"/>
        <w:rPr>
          <w:rFonts w:ascii="仿宋_GB2312"/>
          <w:sz w:val="32"/>
          <w:szCs w:val="32"/>
        </w:rPr>
      </w:pPr>
      <w:r>
        <w:rPr>
          <w:rFonts w:hint="eastAsia" w:ascii="仿宋_GB2312"/>
          <w:sz w:val="32"/>
          <w:szCs w:val="32"/>
        </w:rPr>
        <w:t>深化融资畅通工程，确保每年新增制造业贷款5亿元以上。充分发挥财政资金和产业创投资金的作用，通过设立产业发展投资基金，引导社会资本支持生态工业重大项目建设，以及产业发展布局、产业高质量发展的关键领域和薄弱环节。推进产融合作试点，加强产融对接，鼓励创新发展供应链融资。支持符合条件的企业上市融资。鼓励金融产品服务创新，开发更多满足实体经济高质量发展、新兴产业发展和创新创业需要的金融产品，在审慎经营前提下增加信用金融产品有效供给。落实好10000亿元的再贷款政策和直达实体经济的政策工具，督促法人机构积极运用扶贫再贷款。</w:t>
      </w:r>
    </w:p>
    <w:p>
      <w:pPr>
        <w:pStyle w:val="4"/>
        <w:spacing w:line="560" w:lineRule="exact"/>
        <w:ind w:firstLine="602"/>
        <w:contextualSpacing/>
        <w:rPr>
          <w:rFonts w:ascii="楷体_GB2312" w:eastAsia="楷体_GB2312"/>
          <w:color w:val="000000"/>
        </w:rPr>
      </w:pPr>
      <w:bookmarkStart w:id="61" w:name="_Toc61599235"/>
      <w:bookmarkStart w:id="62" w:name="_Toc6938"/>
      <w:r>
        <w:rPr>
          <w:rFonts w:hint="eastAsia" w:ascii="楷体_GB2312" w:eastAsia="楷体_GB2312"/>
          <w:color w:val="000000"/>
        </w:rPr>
        <w:t>（四）强化土地要素保障</w:t>
      </w:r>
      <w:bookmarkEnd w:id="61"/>
      <w:bookmarkEnd w:id="62"/>
    </w:p>
    <w:p>
      <w:pPr>
        <w:spacing w:line="560" w:lineRule="exact"/>
        <w:ind w:firstLine="640"/>
        <w:rPr>
          <w:rFonts w:ascii="仿宋_GB2312"/>
          <w:sz w:val="32"/>
          <w:szCs w:val="32"/>
        </w:rPr>
      </w:pPr>
      <w:r>
        <w:rPr>
          <w:rFonts w:hint="eastAsia" w:ascii="仿宋_GB2312"/>
          <w:sz w:val="32"/>
          <w:szCs w:val="32"/>
        </w:rPr>
        <w:t>做好工业用地布局，合理安排工业用地，原则上年度新增建设用地指标中工业用地指标不低于50%，盘活的存量工业用地确保全部用于工业。完善闲置用地盘活机制和低效用地退出机制，“腾笼换鸟”“三改一拆”、土地综合整治等企业盘活用地，优先用于发展先进制造业。</w:t>
      </w:r>
    </w:p>
    <w:p>
      <w:pPr>
        <w:pStyle w:val="4"/>
        <w:spacing w:line="560" w:lineRule="exact"/>
        <w:ind w:firstLine="602"/>
        <w:contextualSpacing/>
        <w:rPr>
          <w:rFonts w:ascii="楷体_GB2312" w:eastAsia="楷体_GB2312"/>
          <w:color w:val="000000"/>
        </w:rPr>
      </w:pPr>
      <w:bookmarkStart w:id="63" w:name="_Toc61599236"/>
      <w:bookmarkStart w:id="64" w:name="_Toc23845"/>
      <w:r>
        <w:rPr>
          <w:rFonts w:hint="eastAsia" w:ascii="楷体_GB2312" w:eastAsia="楷体_GB2312"/>
          <w:color w:val="000000"/>
        </w:rPr>
        <w:t>（五）健全产业人才体系</w:t>
      </w:r>
      <w:bookmarkEnd w:id="63"/>
      <w:bookmarkEnd w:id="64"/>
    </w:p>
    <w:p>
      <w:pPr>
        <w:spacing w:line="560" w:lineRule="exact"/>
        <w:ind w:firstLine="640"/>
        <w:rPr>
          <w:rFonts w:ascii="仿宋_GB2312"/>
          <w:sz w:val="32"/>
          <w:szCs w:val="32"/>
        </w:rPr>
      </w:pPr>
      <w:r>
        <w:rPr>
          <w:rFonts w:hint="eastAsia" w:ascii="仿宋_GB2312"/>
          <w:sz w:val="32"/>
          <w:szCs w:val="32"/>
        </w:rPr>
        <w:t>加强产业人才发展统筹规划和分类指导，组织实施生态工业高质量发展人才引进培养计划。完善招才育才政策，加大专业技术技能人才引进培养力度，促进人才链与创新链、产业链有机衔接。加强对企业经营管理者的培养培训，推进企业经营管理人才职业化、市场化、专业化和国际化，打造优秀企业家人才队伍。弘扬优秀企业家精神、劳模精神和工匠精神，培养一支适应生态工业高质量发展要求的高素质产业大军。</w:t>
      </w:r>
    </w:p>
    <w:p>
      <w:pPr>
        <w:pStyle w:val="4"/>
        <w:spacing w:line="560" w:lineRule="exact"/>
        <w:ind w:firstLine="0" w:firstLineChars="0"/>
        <w:contextualSpacing/>
        <w:rPr>
          <w:rFonts w:ascii="楷体_GB2312" w:eastAsia="楷体_GB2312"/>
          <w:color w:val="000000"/>
          <w:sz w:val="32"/>
        </w:rPr>
        <w:sectPr>
          <w:headerReference r:id="rId13" w:type="default"/>
          <w:pgSz w:w="11906" w:h="16838"/>
          <w:pgMar w:top="1440" w:right="1841" w:bottom="1440" w:left="1803" w:header="851" w:footer="992" w:gutter="0"/>
          <w:cols w:space="0" w:num="1"/>
          <w:docGrid w:type="lines" w:linePitch="408" w:charSpace="0"/>
        </w:sectPr>
      </w:pPr>
    </w:p>
    <w:p>
      <w:pPr>
        <w:pStyle w:val="29"/>
        <w:spacing w:line="560" w:lineRule="exact"/>
        <w:ind w:firstLine="640"/>
        <w:rPr>
          <w:rFonts w:hint="eastAsia"/>
          <w:sz w:val="32"/>
          <w:szCs w:val="32"/>
        </w:rPr>
      </w:pPr>
      <w:bookmarkStart w:id="65" w:name="_Toc4714"/>
      <w:r>
        <w:rPr>
          <w:rFonts w:hint="eastAsia"/>
          <w:sz w:val="32"/>
          <w:szCs w:val="32"/>
        </w:rPr>
        <w:t>附件一：重点项目清单</w:t>
      </w:r>
      <w:bookmarkEnd w:id="65"/>
    </w:p>
    <w:tbl>
      <w:tblPr>
        <w:tblStyle w:val="21"/>
        <w:tblW w:w="5524" w:type="pct"/>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126"/>
        <w:gridCol w:w="4343"/>
        <w:gridCol w:w="1000"/>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Header/>
        </w:trPr>
        <w:tc>
          <w:tcPr>
            <w:tcW w:w="1154" w:type="pct"/>
            <w:shd w:val="clear" w:color="auto" w:fill="auto"/>
            <w:vAlign w:val="center"/>
          </w:tcPr>
          <w:p>
            <w:pPr>
              <w:widowControl/>
              <w:ind w:firstLine="0" w:firstLineChars="0"/>
              <w:jc w:val="center"/>
              <w:textAlignment w:val="center"/>
              <w:rPr>
                <w:rFonts w:ascii="仿宋" w:hAnsi="仿宋" w:eastAsia="仿宋" w:cs="仿宋"/>
                <w:b/>
                <w:color w:val="000000"/>
                <w:szCs w:val="21"/>
              </w:rPr>
            </w:pPr>
            <w:r>
              <w:rPr>
                <w:rFonts w:ascii="仿宋" w:hAnsi="仿宋" w:eastAsia="仿宋" w:cs="仿宋"/>
                <w:b/>
                <w:color w:val="000000"/>
                <w:kern w:val="0"/>
                <w:sz w:val="21"/>
                <w:szCs w:val="21"/>
                <w:lang w:bidi="ar"/>
              </w:rPr>
              <w:t>项目名称</w:t>
            </w:r>
          </w:p>
        </w:tc>
        <w:tc>
          <w:tcPr>
            <w:tcW w:w="2357" w:type="pct"/>
            <w:shd w:val="clear" w:color="auto" w:fill="auto"/>
            <w:vAlign w:val="center"/>
          </w:tcPr>
          <w:p>
            <w:pPr>
              <w:widowControl/>
              <w:ind w:firstLine="0" w:firstLineChars="0"/>
              <w:jc w:val="center"/>
              <w:textAlignment w:val="center"/>
              <w:rPr>
                <w:rFonts w:ascii="仿宋" w:hAnsi="仿宋" w:eastAsia="仿宋" w:cs="仿宋"/>
                <w:b/>
                <w:color w:val="000000"/>
                <w:szCs w:val="21"/>
              </w:rPr>
            </w:pPr>
            <w:r>
              <w:rPr>
                <w:rFonts w:ascii="仿宋" w:hAnsi="仿宋" w:eastAsia="仿宋" w:cs="仿宋"/>
                <w:b/>
                <w:color w:val="000000"/>
                <w:kern w:val="0"/>
                <w:sz w:val="21"/>
                <w:szCs w:val="21"/>
                <w:lang w:bidi="ar"/>
              </w:rPr>
              <w:t>建设规模及主要内容</w:t>
            </w:r>
          </w:p>
        </w:tc>
        <w:tc>
          <w:tcPr>
            <w:tcW w:w="543" w:type="pct"/>
            <w:shd w:val="clear" w:color="auto" w:fill="auto"/>
            <w:vAlign w:val="center"/>
          </w:tcPr>
          <w:p>
            <w:pPr>
              <w:widowControl/>
              <w:ind w:firstLine="0" w:firstLineChars="0"/>
              <w:jc w:val="center"/>
              <w:textAlignment w:val="center"/>
              <w:rPr>
                <w:rFonts w:ascii="仿宋" w:hAnsi="仿宋" w:eastAsia="仿宋" w:cs="仿宋"/>
                <w:b/>
                <w:color w:val="000000"/>
                <w:szCs w:val="21"/>
              </w:rPr>
            </w:pPr>
            <w:r>
              <w:rPr>
                <w:rFonts w:ascii="仿宋" w:hAnsi="仿宋" w:eastAsia="仿宋" w:cs="仿宋"/>
                <w:b/>
                <w:color w:val="000000"/>
                <w:kern w:val="0"/>
                <w:sz w:val="21"/>
                <w:szCs w:val="21"/>
                <w:lang w:bidi="ar"/>
              </w:rPr>
              <w:t>总投资</w:t>
            </w:r>
            <w:r>
              <w:rPr>
                <w:rFonts w:ascii="仿宋" w:hAnsi="仿宋" w:eastAsia="仿宋" w:cs="仿宋"/>
                <w:b/>
                <w:color w:val="000000"/>
                <w:kern w:val="0"/>
                <w:sz w:val="21"/>
                <w:szCs w:val="21"/>
                <w:lang w:bidi="ar"/>
              </w:rPr>
              <w:br w:type="textWrapping"/>
            </w:r>
            <w:r>
              <w:rPr>
                <w:rFonts w:ascii="仿宋" w:hAnsi="仿宋" w:eastAsia="仿宋" w:cs="仿宋"/>
                <w:b/>
                <w:color w:val="000000"/>
                <w:kern w:val="0"/>
                <w:sz w:val="21"/>
                <w:szCs w:val="21"/>
                <w:lang w:bidi="ar"/>
              </w:rPr>
              <w:t>（万元）</w:t>
            </w:r>
          </w:p>
        </w:tc>
        <w:tc>
          <w:tcPr>
            <w:tcW w:w="945" w:type="pct"/>
            <w:shd w:val="clear" w:color="auto" w:fill="auto"/>
            <w:vAlign w:val="center"/>
          </w:tcPr>
          <w:p>
            <w:pPr>
              <w:widowControl/>
              <w:ind w:firstLine="0" w:firstLineChars="0"/>
              <w:jc w:val="center"/>
              <w:textAlignment w:val="center"/>
              <w:rPr>
                <w:rFonts w:ascii="仿宋" w:hAnsi="仿宋" w:eastAsia="仿宋" w:cs="仿宋"/>
                <w:b/>
                <w:color w:val="000000"/>
                <w:szCs w:val="21"/>
              </w:rPr>
            </w:pPr>
            <w:r>
              <w:rPr>
                <w:rFonts w:ascii="仿宋" w:hAnsi="仿宋" w:eastAsia="仿宋" w:cs="仿宋"/>
                <w:b/>
                <w:color w:val="000000"/>
                <w:kern w:val="0"/>
                <w:sz w:val="21"/>
                <w:szCs w:val="21"/>
                <w:lang w:bidi="ar"/>
              </w:rPr>
              <w:t xml:space="preserve">项目主要     </w:t>
            </w:r>
            <w:r>
              <w:rPr>
                <w:rFonts w:ascii="仿宋" w:hAnsi="仿宋" w:eastAsia="仿宋" w:cs="仿宋"/>
                <w:b/>
                <w:color w:val="000000"/>
                <w:kern w:val="0"/>
                <w:sz w:val="21"/>
                <w:szCs w:val="21"/>
                <w:lang w:bidi="ar"/>
              </w:rPr>
              <w:br w:type="textWrapping"/>
            </w:r>
            <w:r>
              <w:rPr>
                <w:rFonts w:ascii="仿宋" w:hAnsi="仿宋" w:eastAsia="仿宋" w:cs="仿宋"/>
                <w:b/>
                <w:color w:val="000000"/>
                <w:kern w:val="0"/>
                <w:sz w:val="21"/>
                <w:szCs w:val="21"/>
                <w:lang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78"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青田县年产1000万件电器塑壳、500万件电器制件机加工、1万套电器机柜项目项目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总用地面积约85亩，主要包括生产厂房、职工宿舍等建设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25000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起步科技创新园</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总用地面积273亩，总建筑面积40万平方米，主要包括厂房、研发车间、宿舍等设施</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200000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中翰智能装备产业园</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总用地面积约165亩，主要包括生产厂房、职工宿舍等建设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50000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经商局、高湖镇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青田数据智能设备制造项目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总用地面积约41亩，主要包括生产厂房、职工宿舍等建设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经商局、温溪镇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年加工24550吨电镀产品建设项目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项目共有64条生产线，购置了全自动挂镀线、半自动挂镀生产线、半自动摇镀线及半自动滚镀线。采用节水工艺，生产工艺除油、清洗、镀镍、镀铜、光饰等节水工艺，通过优化工艺装备及布局，自动化生产线镀槽容积达到100%。项目达产后年加工电镀24550吨。</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38200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温溪镇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球豹年产15000吨锻造阀门配件建设项目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总用地面积约50亩，主要包括生产厂房、职工宿舍等建设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11000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开发区、东源镇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矿地结合项目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船镇赤岩村、三溪口街道下坦村建筑用石料（凝灰岩）矿矿地综合开发利用采矿权试点项目</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自然资源和规划局、</w:t>
            </w:r>
            <w:r>
              <w:rPr>
                <w:rFonts w:ascii="仿宋" w:hAnsi="仿宋" w:eastAsia="仿宋" w:cs="仿宋"/>
                <w:color w:val="000000"/>
                <w:kern w:val="0"/>
                <w:sz w:val="21"/>
                <w:szCs w:val="21"/>
                <w:lang w:bidi="ar"/>
              </w:rPr>
              <w:br w:type="textWrapping"/>
            </w:r>
            <w:r>
              <w:rPr>
                <w:rFonts w:ascii="仿宋" w:hAnsi="仿宋" w:eastAsia="仿宋" w:cs="仿宋"/>
                <w:color w:val="000000"/>
                <w:kern w:val="0"/>
                <w:sz w:val="21"/>
                <w:szCs w:val="21"/>
                <w:lang w:bidi="ar"/>
              </w:rPr>
              <w:t>船寮镇、</w:t>
            </w:r>
            <w:r>
              <w:rPr>
                <w:rFonts w:ascii="仿宋" w:hAnsi="仿宋" w:eastAsia="仿宋" w:cs="仿宋"/>
                <w:color w:val="000000"/>
                <w:kern w:val="0"/>
                <w:sz w:val="21"/>
                <w:szCs w:val="21"/>
                <w:lang w:bidi="ar"/>
              </w:rPr>
              <w:br w:type="textWrapping"/>
            </w:r>
            <w:r>
              <w:rPr>
                <w:rFonts w:ascii="仿宋" w:hAnsi="仿宋" w:eastAsia="仿宋" w:cs="仿宋"/>
                <w:color w:val="000000"/>
                <w:kern w:val="0"/>
                <w:sz w:val="21"/>
                <w:szCs w:val="21"/>
                <w:lang w:bidi="ar"/>
              </w:rPr>
              <w:t xml:space="preserve">三溪口街道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小溪水利枢纽</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供水规模16万m3/d，电站装机容量75MW，主要包括泄洪闸坝、供水系统、发电引水系统、配套发电厂房等建设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146568</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水利局（青田县小溪水利枢纽工程建设指挥部）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伟天总部及酒店项目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总用地面积约300亩，主要包括总部大楼、酒店设施、生活功能区等建设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青田县第二养老中心</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总建筑面积13500平方米，设计床位300张</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5000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青田“一带一路”华侨合作产业园</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总用地280亩，建筑面积30万平方米，主要包括安特总部提升、标准厂房、众创空间及附属配套设施等建设内容</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150000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经商局、温溪镇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田千年产2000万米高档蕾丝刺绣花边建设项目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总用地面积约96亩，主要包括生产厂房、职工宿舍等建设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25000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开发区、船寮镇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德禧年产10万吨精酿啤酒建设项目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总用地面积约45亩，主要包括生产厂房、职工宿舍等建设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经商局、油竹街道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矿地结合项目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船镇赤岩村、三溪口街道下坦村建筑用石料（凝灰岩）矿矿地综合开发利用采矿权试点项目</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自然资源和规划局、</w:t>
            </w:r>
            <w:r>
              <w:rPr>
                <w:rFonts w:ascii="仿宋" w:hAnsi="仿宋" w:eastAsia="仿宋" w:cs="仿宋"/>
                <w:color w:val="000000"/>
                <w:kern w:val="0"/>
                <w:sz w:val="21"/>
                <w:szCs w:val="21"/>
                <w:lang w:bidi="ar"/>
              </w:rPr>
              <w:br w:type="textWrapping"/>
            </w:r>
            <w:r>
              <w:rPr>
                <w:rFonts w:ascii="仿宋" w:hAnsi="仿宋" w:eastAsia="仿宋" w:cs="仿宋"/>
                <w:color w:val="000000"/>
                <w:kern w:val="0"/>
                <w:sz w:val="21"/>
                <w:szCs w:val="21"/>
                <w:lang w:bidi="ar"/>
              </w:rPr>
              <w:t>船寮镇、</w:t>
            </w:r>
            <w:r>
              <w:rPr>
                <w:rFonts w:ascii="仿宋" w:hAnsi="仿宋" w:eastAsia="仿宋" w:cs="仿宋"/>
                <w:color w:val="000000"/>
                <w:kern w:val="0"/>
                <w:sz w:val="21"/>
                <w:szCs w:val="21"/>
                <w:lang w:bidi="ar"/>
              </w:rPr>
              <w:br w:type="textWrapping"/>
            </w:r>
            <w:r>
              <w:rPr>
                <w:rFonts w:ascii="仿宋" w:hAnsi="仿宋" w:eastAsia="仿宋" w:cs="仿宋"/>
                <w:color w:val="000000"/>
                <w:kern w:val="0"/>
                <w:sz w:val="21"/>
                <w:szCs w:val="21"/>
                <w:lang w:bidi="ar"/>
              </w:rPr>
              <w:t xml:space="preserve">三溪口街道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油竹欧陆风情酒店</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总用地面积24亩，总建筑面积7万平方米，主要包括星级酒店、内部设宴会餐饮和酒店客服、相关商业用房及附属配套设施等建设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油竹街道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青田县山口镇大安田园综合体</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规划总用地面积约4000亩，占地面积约100亩，建设集自然观光、休闲度假、民宿宾馆等一体的农旅开发项目</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50000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山口镇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东部乡村生活休闲区（诗画小舟山）</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打造集吃、住、游为一体的旅游休闲综合体</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20000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小舟山乡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青田云畲乡野度假综合体</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总用地面积3862平方米，总建筑面积5213平方米</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8000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祯旺乡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青田保税物流中心（B型）一期</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主要设施包括海关查验区、货车停车区、仓库配卸平台、监管仓及综合服务楼</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14000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侨乡进口商品城建设发展中心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环球商贸集聚中心</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总用地面积50亩，总建筑面积15万平方米,建成集进口商贸、展示展销、电子商务、旅游、购物、餐饮为一体的商业综合体</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侨乡进口商品城建设发展中心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330国道青田温溪至船寮段改建工程</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一级公路，主线长约33.5公里，二级公路支线长约6.5公里</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465000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交通运输局、交投公司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青田县年产10万立方米建筑工业化PC构件项目</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总用地约100亩，主要建设办公楼、宿舍、生产线、车间库房及配套设施等</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40000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奇云山仙竞小镇</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规划范围5376亩，用地规划面积588亩。主要建设：云顶客厅、会议中心、电竞游侠商业街、仙侠主题酒店等项目及旅游配套设施建设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600000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文广旅体局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青田港船寮港区工程</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总用地28亩，建设5个500吨级泊位</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12900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交投公司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祯埠小河坑休闲文创园</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总用地面积约165亩，主要包括生产厂房、职工宿舍等建设</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开发区、</w:t>
            </w:r>
            <w:r>
              <w:rPr>
                <w:rFonts w:ascii="仿宋" w:hAnsi="仿宋" w:eastAsia="仿宋" w:cs="仿宋"/>
                <w:color w:val="000000"/>
                <w:kern w:val="0"/>
                <w:sz w:val="21"/>
                <w:szCs w:val="21"/>
                <w:lang w:bidi="ar"/>
              </w:rPr>
              <w:br w:type="textWrapping"/>
            </w:r>
            <w:r>
              <w:rPr>
                <w:rFonts w:ascii="仿宋" w:hAnsi="仿宋" w:eastAsia="仿宋" w:cs="仿宋"/>
                <w:color w:val="000000"/>
                <w:kern w:val="0"/>
                <w:sz w:val="21"/>
                <w:szCs w:val="21"/>
                <w:lang w:bidi="ar"/>
              </w:rPr>
              <w:t>祯埠镇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青田县威尼斯康养小镇</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总用地面积44.3亩，建筑面积28577平方米，主要包括住宅、商业用房以及相关附属工程</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160000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百川润嘉</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总建筑面积208528平方米，其中商业200多平方米，幼儿园3400平方米</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135000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青田水利枢纽</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正常蓄水位7.0米，库面积5.02平方千米，装机容量3*1.3万kw</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159922</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青田康宁医院二期</w:t>
            </w:r>
          </w:p>
        </w:tc>
        <w:tc>
          <w:tcPr>
            <w:tcW w:w="2357"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总用地面积18.4亩，二级精神病专科医院，320张床位，总建筑面积21852平方米；主要包括医疗楼、行政楼等</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10932</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伯温中学</w:t>
            </w:r>
          </w:p>
        </w:tc>
        <w:tc>
          <w:tcPr>
            <w:tcW w:w="2357" w:type="pct"/>
            <w:shd w:val="clear" w:color="auto" w:fill="auto"/>
            <w:vAlign w:val="center"/>
          </w:tcPr>
          <w:p>
            <w:pPr>
              <w:widowControl/>
              <w:ind w:firstLine="0" w:firstLineChars="0"/>
              <w:jc w:val="left"/>
              <w:textAlignment w:val="center"/>
              <w:rPr>
                <w:rFonts w:hint="eastAsia" w:ascii="仿宋" w:hAnsi="仿宋" w:eastAsia="仿宋" w:cs="仿宋"/>
                <w:color w:val="000000"/>
                <w:szCs w:val="21"/>
                <w:lang w:eastAsia="zh-CN"/>
              </w:rPr>
            </w:pPr>
            <w:r>
              <w:rPr>
                <w:rFonts w:ascii="仿宋" w:hAnsi="仿宋" w:eastAsia="仿宋" w:cs="仿宋"/>
                <w:color w:val="000000"/>
                <w:kern w:val="0"/>
                <w:sz w:val="21"/>
                <w:szCs w:val="21"/>
                <w:lang w:bidi="ar"/>
              </w:rPr>
              <w:t>总用地面积221.78亩，总建筑面积110967.71平方米；学校拟设72个教学班，包括初中和小学，主要包括教学楼、宿舍等</w:t>
            </w:r>
            <w:r>
              <w:rPr>
                <w:rFonts w:hint="eastAsia" w:ascii="仿宋" w:hAnsi="仿宋" w:eastAsia="仿宋" w:cs="仿宋"/>
                <w:color w:val="000000"/>
                <w:kern w:val="0"/>
                <w:sz w:val="21"/>
                <w:szCs w:val="21"/>
                <w:lang w:eastAsia="zh-CN" w:bidi="ar"/>
              </w:rPr>
              <w:t>。</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35078</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青田县温溪镇第五小学新建工程（一期）</w:t>
            </w:r>
          </w:p>
        </w:tc>
        <w:tc>
          <w:tcPr>
            <w:tcW w:w="2357" w:type="pct"/>
            <w:shd w:val="clear" w:color="auto" w:fill="auto"/>
            <w:vAlign w:val="center"/>
          </w:tcPr>
          <w:p>
            <w:pPr>
              <w:widowControl/>
              <w:ind w:firstLine="0" w:firstLineChars="0"/>
              <w:jc w:val="left"/>
              <w:textAlignment w:val="center"/>
              <w:rPr>
                <w:rFonts w:hint="eastAsia" w:ascii="仿宋" w:hAnsi="仿宋" w:eastAsia="仿宋" w:cs="仿宋"/>
                <w:color w:val="000000"/>
                <w:szCs w:val="21"/>
                <w:lang w:eastAsia="zh-CN"/>
              </w:rPr>
            </w:pPr>
            <w:r>
              <w:rPr>
                <w:rFonts w:ascii="仿宋" w:hAnsi="仿宋" w:eastAsia="仿宋" w:cs="仿宋"/>
                <w:color w:val="000000"/>
                <w:kern w:val="0"/>
                <w:sz w:val="21"/>
                <w:szCs w:val="21"/>
                <w:lang w:bidi="ar"/>
              </w:rPr>
              <w:t>总用地面积57.4亩，总建筑面积46965平方米，新建60个班级的九年一贯制学校，其中小学36个班级，初中24个班级</w:t>
            </w:r>
            <w:r>
              <w:rPr>
                <w:rFonts w:hint="eastAsia" w:ascii="仿宋" w:hAnsi="仿宋" w:eastAsia="仿宋" w:cs="仿宋"/>
                <w:color w:val="000000"/>
                <w:kern w:val="0"/>
                <w:sz w:val="21"/>
                <w:szCs w:val="21"/>
                <w:lang w:eastAsia="zh-CN" w:bidi="ar"/>
              </w:rPr>
              <w:t>。</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18900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东堡山华侨文化旅游项目（一期）</w:t>
            </w:r>
          </w:p>
        </w:tc>
        <w:tc>
          <w:tcPr>
            <w:tcW w:w="2357" w:type="pct"/>
            <w:shd w:val="clear" w:color="auto" w:fill="auto"/>
            <w:vAlign w:val="center"/>
          </w:tcPr>
          <w:p>
            <w:pPr>
              <w:widowControl/>
              <w:ind w:firstLine="0" w:firstLineChars="0"/>
              <w:jc w:val="left"/>
              <w:textAlignment w:val="center"/>
              <w:rPr>
                <w:rFonts w:hint="eastAsia" w:ascii="仿宋" w:hAnsi="仿宋" w:eastAsia="仿宋" w:cs="仿宋"/>
                <w:color w:val="000000"/>
                <w:szCs w:val="21"/>
                <w:lang w:eastAsia="zh-CN"/>
              </w:rPr>
            </w:pPr>
            <w:r>
              <w:rPr>
                <w:rFonts w:ascii="仿宋" w:hAnsi="仿宋" w:eastAsia="仿宋" w:cs="仿宋"/>
                <w:color w:val="000000"/>
                <w:kern w:val="0"/>
                <w:sz w:val="21"/>
                <w:szCs w:val="21"/>
                <w:lang w:bidi="ar"/>
              </w:rPr>
              <w:t>总用地面积575亩，总建筑面积24.72万平方米，主要包括博物馆群、旅游集散中心、广场等工程</w:t>
            </w:r>
            <w:r>
              <w:rPr>
                <w:rFonts w:hint="eastAsia" w:ascii="仿宋" w:hAnsi="仿宋" w:eastAsia="仿宋" w:cs="仿宋"/>
                <w:color w:val="000000"/>
                <w:kern w:val="0"/>
                <w:sz w:val="21"/>
                <w:szCs w:val="21"/>
                <w:lang w:eastAsia="zh-CN" w:bidi="ar"/>
              </w:rPr>
              <w:t>。</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550000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文广旅体局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秋芦石雕综合体</w:t>
            </w:r>
          </w:p>
        </w:tc>
        <w:tc>
          <w:tcPr>
            <w:tcW w:w="2357" w:type="pct"/>
            <w:shd w:val="clear" w:color="auto" w:fill="auto"/>
            <w:vAlign w:val="center"/>
          </w:tcPr>
          <w:p>
            <w:pPr>
              <w:widowControl/>
              <w:ind w:firstLine="0" w:firstLineChars="0"/>
              <w:jc w:val="left"/>
              <w:textAlignment w:val="center"/>
              <w:rPr>
                <w:rFonts w:hint="eastAsia" w:ascii="仿宋" w:hAnsi="仿宋" w:eastAsia="仿宋" w:cs="仿宋"/>
                <w:color w:val="000000"/>
                <w:szCs w:val="21"/>
                <w:lang w:eastAsia="zh-CN"/>
              </w:rPr>
            </w:pPr>
            <w:r>
              <w:rPr>
                <w:rFonts w:ascii="仿宋" w:hAnsi="仿宋" w:eastAsia="仿宋" w:cs="仿宋"/>
                <w:color w:val="000000"/>
                <w:kern w:val="0"/>
                <w:sz w:val="21"/>
                <w:szCs w:val="21"/>
                <w:lang w:bidi="ar"/>
              </w:rPr>
              <w:t>总用地面积约82.5亩，总建筑面积110000平方米，主要包括石雕交易市场、石雕博物馆及附属工程等</w:t>
            </w:r>
            <w:r>
              <w:rPr>
                <w:rFonts w:hint="eastAsia" w:ascii="仿宋" w:hAnsi="仿宋" w:eastAsia="仿宋" w:cs="仿宋"/>
                <w:color w:val="000000"/>
                <w:kern w:val="0"/>
                <w:sz w:val="21"/>
                <w:szCs w:val="21"/>
                <w:lang w:eastAsia="zh-CN" w:bidi="ar"/>
              </w:rPr>
              <w:t>。</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50800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石雕产业保护和发展中心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154"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青田县船寮30MW农光互补光伏发电项目</w:t>
            </w:r>
          </w:p>
        </w:tc>
        <w:tc>
          <w:tcPr>
            <w:tcW w:w="2357" w:type="pct"/>
            <w:shd w:val="clear" w:color="auto" w:fill="auto"/>
            <w:vAlign w:val="center"/>
          </w:tcPr>
          <w:p>
            <w:pPr>
              <w:widowControl/>
              <w:ind w:firstLine="0" w:firstLineChars="0"/>
              <w:jc w:val="left"/>
              <w:textAlignment w:val="center"/>
              <w:rPr>
                <w:rFonts w:hint="eastAsia" w:ascii="仿宋" w:hAnsi="仿宋" w:eastAsia="仿宋" w:cs="仿宋"/>
                <w:color w:val="000000"/>
                <w:szCs w:val="21"/>
                <w:lang w:eastAsia="zh-CN"/>
              </w:rPr>
            </w:pPr>
            <w:r>
              <w:rPr>
                <w:rFonts w:ascii="仿宋" w:hAnsi="仿宋" w:eastAsia="仿宋" w:cs="仿宋"/>
                <w:color w:val="000000"/>
                <w:kern w:val="0"/>
                <w:sz w:val="21"/>
                <w:szCs w:val="21"/>
                <w:lang w:bidi="ar"/>
              </w:rPr>
              <w:t>总装机规模30MW农光互补光伏发电项目建设</w:t>
            </w:r>
            <w:r>
              <w:rPr>
                <w:rFonts w:hint="eastAsia" w:ascii="仿宋" w:hAnsi="仿宋" w:eastAsia="仿宋" w:cs="仿宋"/>
                <w:color w:val="000000"/>
                <w:kern w:val="0"/>
                <w:sz w:val="21"/>
                <w:szCs w:val="21"/>
                <w:lang w:eastAsia="zh-CN" w:bidi="ar"/>
              </w:rPr>
              <w:t>。</w:t>
            </w:r>
          </w:p>
        </w:tc>
        <w:tc>
          <w:tcPr>
            <w:tcW w:w="543" w:type="pct"/>
            <w:shd w:val="clear" w:color="auto" w:fill="auto"/>
            <w:vAlign w:val="center"/>
          </w:tcPr>
          <w:p>
            <w:pPr>
              <w:widowControl/>
              <w:ind w:firstLine="0" w:firstLineChars="0"/>
              <w:jc w:val="center"/>
              <w:textAlignment w:val="center"/>
              <w:rPr>
                <w:rFonts w:ascii="仿宋" w:hAnsi="仿宋" w:eastAsia="仿宋" w:cs="仿宋"/>
                <w:color w:val="000000"/>
                <w:szCs w:val="21"/>
              </w:rPr>
            </w:pPr>
            <w:r>
              <w:rPr>
                <w:rFonts w:ascii="仿宋" w:hAnsi="仿宋" w:eastAsia="仿宋" w:cs="仿宋"/>
                <w:color w:val="000000"/>
                <w:kern w:val="0"/>
                <w:sz w:val="21"/>
                <w:szCs w:val="21"/>
                <w:lang w:bidi="ar"/>
              </w:rPr>
              <w:t>21000</w:t>
            </w:r>
          </w:p>
        </w:tc>
        <w:tc>
          <w:tcPr>
            <w:tcW w:w="945" w:type="pct"/>
            <w:shd w:val="clear" w:color="auto" w:fill="auto"/>
            <w:vAlign w:val="center"/>
          </w:tcPr>
          <w:p>
            <w:pPr>
              <w:widowControl/>
              <w:ind w:firstLine="0" w:firstLineChars="0"/>
              <w:jc w:val="left"/>
              <w:textAlignment w:val="center"/>
              <w:rPr>
                <w:rFonts w:ascii="仿宋" w:hAnsi="仿宋" w:eastAsia="仿宋" w:cs="仿宋"/>
                <w:color w:val="000000"/>
                <w:szCs w:val="21"/>
              </w:rPr>
            </w:pPr>
            <w:r>
              <w:rPr>
                <w:rFonts w:ascii="仿宋" w:hAnsi="仿宋" w:eastAsia="仿宋" w:cs="仿宋"/>
                <w:color w:val="000000"/>
                <w:kern w:val="0"/>
                <w:sz w:val="21"/>
                <w:szCs w:val="21"/>
                <w:lang w:bidi="ar"/>
              </w:rPr>
              <w:t>发改局</w:t>
            </w:r>
          </w:p>
        </w:tc>
      </w:tr>
    </w:tbl>
    <w:p>
      <w:pPr>
        <w:ind w:firstLine="600"/>
        <w:sectPr>
          <w:pgSz w:w="11906" w:h="16838"/>
          <w:pgMar w:top="1440" w:right="1800" w:bottom="1440" w:left="1800" w:header="851" w:footer="992" w:gutter="0"/>
          <w:cols w:space="425" w:num="1"/>
          <w:docGrid w:type="lines" w:linePitch="408" w:charSpace="0"/>
        </w:sectPr>
      </w:pPr>
    </w:p>
    <w:p>
      <w:pPr>
        <w:pStyle w:val="29"/>
        <w:spacing w:line="560" w:lineRule="exact"/>
        <w:ind w:firstLine="640"/>
        <w:rPr>
          <w:rFonts w:hint="eastAsia"/>
          <w:sz w:val="32"/>
          <w:szCs w:val="32"/>
        </w:rPr>
      </w:pPr>
      <w:bookmarkStart w:id="66" w:name="_Toc20955"/>
      <w:r>
        <w:rPr>
          <w:rFonts w:hint="eastAsia"/>
          <w:sz w:val="32"/>
          <w:szCs w:val="32"/>
        </w:rPr>
        <w:t>附件二：重点企业培育清单</w:t>
      </w:r>
      <w:bookmarkEnd w:id="66"/>
    </w:p>
    <w:tbl>
      <w:tblPr>
        <w:tblStyle w:val="21"/>
        <w:tblW w:w="5707" w:type="pct"/>
        <w:tblInd w:w="-5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32"/>
        <w:gridCol w:w="2578"/>
        <w:gridCol w:w="1067"/>
        <w:gridCol w:w="1168"/>
        <w:gridCol w:w="1144"/>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tblHeader/>
        </w:trPr>
        <w:tc>
          <w:tcPr>
            <w:tcW w:w="229" w:type="pct"/>
            <w:vMerge w:val="restart"/>
            <w:shd w:val="clear" w:color="auto" w:fill="F1F1F1" w:themeFill="background1" w:themeFillShade="F2"/>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序号</w:t>
            </w:r>
          </w:p>
        </w:tc>
        <w:tc>
          <w:tcPr>
            <w:tcW w:w="1364" w:type="pct"/>
            <w:vMerge w:val="restart"/>
            <w:shd w:val="clear" w:color="auto" w:fill="F1F1F1" w:themeFill="background1" w:themeFillShade="F2"/>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企业名称</w:t>
            </w:r>
          </w:p>
        </w:tc>
        <w:tc>
          <w:tcPr>
            <w:tcW w:w="565" w:type="pct"/>
            <w:vMerge w:val="restart"/>
            <w:shd w:val="clear" w:color="auto" w:fill="F1F1F1" w:themeFill="background1" w:themeFillShade="F2"/>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2019年</w:t>
            </w:r>
          </w:p>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实际</w:t>
            </w:r>
          </w:p>
        </w:tc>
        <w:tc>
          <w:tcPr>
            <w:tcW w:w="1223" w:type="pct"/>
            <w:gridSpan w:val="2"/>
            <w:shd w:val="clear" w:color="auto" w:fill="F1F1F1" w:themeFill="background1" w:themeFillShade="F2"/>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奋进目标</w:t>
            </w:r>
          </w:p>
        </w:tc>
        <w:tc>
          <w:tcPr>
            <w:tcW w:w="1619" w:type="pct"/>
            <w:vMerge w:val="restart"/>
            <w:shd w:val="clear" w:color="auto" w:fill="F1F1F1" w:themeFill="background1" w:themeFillShade="F2"/>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hint="eastAsia" w:eastAsia="黑体"/>
                <w:color w:val="000000"/>
                <w:sz w:val="22"/>
                <w:szCs w:val="22"/>
              </w:rPr>
              <w:t>培育基础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5" w:hRule="atLeast"/>
          <w:tblHeader/>
        </w:trPr>
        <w:tc>
          <w:tcPr>
            <w:tcW w:w="229" w:type="pct"/>
            <w:vMerge w:val="continue"/>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p>
        </w:tc>
        <w:tc>
          <w:tcPr>
            <w:tcW w:w="1364" w:type="pct"/>
            <w:vMerge w:val="continue"/>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p>
        </w:tc>
        <w:tc>
          <w:tcPr>
            <w:tcW w:w="565" w:type="pct"/>
            <w:vMerge w:val="continue"/>
            <w:shd w:val="clear" w:color="auto" w:fill="auto"/>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p>
        </w:tc>
        <w:tc>
          <w:tcPr>
            <w:tcW w:w="618" w:type="pct"/>
            <w:shd w:val="clear" w:color="auto" w:fill="F1F1F1" w:themeFill="background1" w:themeFillShade="F2"/>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2023年</w:t>
            </w:r>
          </w:p>
        </w:tc>
        <w:tc>
          <w:tcPr>
            <w:tcW w:w="605" w:type="pct"/>
            <w:shd w:val="clear" w:color="auto" w:fill="F1F1F1" w:themeFill="background1" w:themeFillShade="F2"/>
            <w:tcMar>
              <w:top w:w="8" w:type="dxa"/>
              <w:left w:w="8" w:type="dxa"/>
              <w:right w:w="8" w:type="dxa"/>
            </w:tcMar>
            <w:vAlign w:val="center"/>
          </w:tcPr>
          <w:p>
            <w:pPr>
              <w:widowControl/>
              <w:spacing w:line="360" w:lineRule="exact"/>
              <w:ind w:right="-105" w:rightChars="-35"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2025年</w:t>
            </w:r>
          </w:p>
        </w:tc>
        <w:tc>
          <w:tcPr>
            <w:tcW w:w="1619" w:type="pct"/>
            <w:vMerge w:val="continue"/>
            <w:shd w:val="clear" w:color="auto" w:fill="auto"/>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5000" w:type="pct"/>
            <w:gridSpan w:val="6"/>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eastAsia="黑体"/>
                <w:color w:val="000000"/>
                <w:sz w:val="22"/>
                <w:szCs w:val="22"/>
              </w:rPr>
            </w:pPr>
            <w:r>
              <w:rPr>
                <w:rFonts w:hint="eastAsia" w:eastAsia="黑体"/>
                <w:color w:val="000000"/>
                <w:sz w:val="22"/>
                <w:szCs w:val="22"/>
              </w:rPr>
              <w:t>百亿级企业培育清单（2家）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vMerge w:val="restar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1</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sz w:val="22"/>
                <w:szCs w:val="22"/>
              </w:rPr>
            </w:pPr>
            <w:r>
              <w:rPr>
                <w:rFonts w:eastAsia="黑体"/>
                <w:color w:val="000000"/>
                <w:kern w:val="0"/>
                <w:sz w:val="22"/>
                <w:szCs w:val="22"/>
                <w:lang w:bidi="ar"/>
              </w:rPr>
              <w:t>浙江瑞浦科技有限公司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40-50亿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50-70亿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50-70亿</w:t>
            </w:r>
          </w:p>
        </w:tc>
        <w:tc>
          <w:tcPr>
            <w:tcW w:w="1619" w:type="pct"/>
            <w:vMerge w:val="restart"/>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hint="eastAsia" w:eastAsia="黑体"/>
                <w:color w:val="000000"/>
                <w:sz w:val="22"/>
                <w:szCs w:val="22"/>
                <w:lang w:eastAsia="zh-CN"/>
              </w:rPr>
            </w:pPr>
            <w:r>
              <w:rPr>
                <w:rFonts w:hint="eastAsia" w:eastAsia="黑体"/>
                <w:color w:val="000000"/>
                <w:sz w:val="22"/>
                <w:szCs w:val="22"/>
              </w:rPr>
              <w:t>（1）中高端不锈钢项目：不锈钢产能50万吨，向更高牌号、更高端用户、更严格环境方向发展；（2）受土地制约比较大。——需2000亩空间</w:t>
            </w:r>
            <w:r>
              <w:rPr>
                <w:rFonts w:hint="eastAsia" w:eastAsia="黑体"/>
                <w:color w:val="000000"/>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sz w:val="22"/>
                <w:szCs w:val="22"/>
              </w:rPr>
            </w:pPr>
            <w:r>
              <w:rPr>
                <w:rFonts w:eastAsia="黑体"/>
                <w:color w:val="000000"/>
                <w:kern w:val="0"/>
                <w:sz w:val="22"/>
                <w:szCs w:val="22"/>
                <w:lang w:bidi="ar"/>
              </w:rPr>
              <w:t>浙江青山钢铁有限公司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30-40亿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40-50亿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50-70亿</w:t>
            </w:r>
          </w:p>
        </w:tc>
        <w:tc>
          <w:tcPr>
            <w:tcW w:w="161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sz w:val="22"/>
                <w:szCs w:val="22"/>
              </w:rPr>
            </w:pPr>
            <w:r>
              <w:rPr>
                <w:rFonts w:eastAsia="黑体"/>
                <w:color w:val="000000"/>
                <w:kern w:val="0"/>
                <w:sz w:val="22"/>
                <w:szCs w:val="22"/>
                <w:lang w:bidi="ar"/>
              </w:rPr>
              <w:t>浙江瑞浦机械有限公司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20-30亿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30-50亿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40-50亿</w:t>
            </w:r>
          </w:p>
        </w:tc>
        <w:tc>
          <w:tcPr>
            <w:tcW w:w="161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sz w:val="22"/>
                <w:szCs w:val="22"/>
              </w:rPr>
            </w:pPr>
            <w:r>
              <w:rPr>
                <w:rFonts w:eastAsia="黑体"/>
                <w:color w:val="000000"/>
                <w:kern w:val="0"/>
                <w:sz w:val="22"/>
                <w:szCs w:val="22"/>
                <w:lang w:bidi="ar"/>
              </w:rPr>
              <w:t>浙江青山钢管有限公司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5-10亿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10-20亿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10-20亿</w:t>
            </w:r>
          </w:p>
        </w:tc>
        <w:tc>
          <w:tcPr>
            <w:tcW w:w="161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vMerge w:val="continue"/>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sz w:val="22"/>
                <w:szCs w:val="22"/>
              </w:rPr>
            </w:pPr>
            <w:r>
              <w:rPr>
                <w:rFonts w:eastAsia="黑体"/>
                <w:color w:val="000000"/>
                <w:kern w:val="0"/>
                <w:sz w:val="22"/>
                <w:szCs w:val="22"/>
                <w:lang w:bidi="ar"/>
              </w:rPr>
              <w:t>青田青山气体有限公司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0.2-0.5亿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0.5-1亿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sz w:val="22"/>
                <w:szCs w:val="22"/>
              </w:rPr>
            </w:pPr>
            <w:r>
              <w:rPr>
                <w:rFonts w:eastAsia="黑体"/>
                <w:color w:val="000000"/>
                <w:kern w:val="0"/>
                <w:sz w:val="22"/>
                <w:szCs w:val="22"/>
                <w:lang w:bidi="ar"/>
              </w:rPr>
              <w:t>0.5-1亿</w:t>
            </w:r>
          </w:p>
        </w:tc>
        <w:tc>
          <w:tcPr>
            <w:tcW w:w="1619" w:type="pct"/>
            <w:vMerge w:val="continue"/>
            <w:shd w:val="clear" w:color="auto" w:fill="auto"/>
            <w:noWrap/>
            <w:tcMar>
              <w:top w:w="8" w:type="dxa"/>
              <w:left w:w="8" w:type="dxa"/>
              <w:right w:w="8" w:type="dxa"/>
            </w:tcMar>
            <w:vAlign w:val="center"/>
          </w:tcPr>
          <w:p>
            <w:pPr>
              <w:widowControl/>
              <w:spacing w:line="360" w:lineRule="exact"/>
              <w:ind w:firstLine="0" w:firstLineChars="0"/>
              <w:jc w:val="center"/>
              <w:rPr>
                <w:rFonts w:eastAsia="黑体"/>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2</w:t>
            </w:r>
          </w:p>
        </w:tc>
        <w:tc>
          <w:tcPr>
            <w:tcW w:w="1364" w:type="pct"/>
            <w:shd w:val="clear" w:color="auto" w:fill="auto"/>
            <w:noWrap/>
            <w:tcMar>
              <w:top w:w="8" w:type="dxa"/>
              <w:left w:w="8" w:type="dxa"/>
              <w:right w:w="8" w:type="dxa"/>
            </w:tcMar>
            <w:vAlign w:val="center"/>
          </w:tcPr>
          <w:p>
            <w:pPr>
              <w:widowControl/>
              <w:spacing w:line="360" w:lineRule="exact"/>
              <w:ind w:firstLine="0" w:firstLineChars="0"/>
              <w:jc w:val="left"/>
              <w:textAlignment w:val="bottom"/>
              <w:rPr>
                <w:rFonts w:eastAsia="黑体"/>
                <w:color w:val="000000"/>
                <w:kern w:val="0"/>
                <w:sz w:val="22"/>
                <w:szCs w:val="22"/>
                <w:lang w:bidi="ar"/>
              </w:rPr>
            </w:pPr>
            <w:r>
              <w:rPr>
                <w:rFonts w:hint="eastAsia" w:eastAsia="黑体"/>
                <w:color w:val="000000"/>
                <w:kern w:val="0"/>
                <w:sz w:val="22"/>
                <w:szCs w:val="22"/>
                <w:lang w:bidi="ar"/>
              </w:rPr>
              <w:t>新培育一家</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hint="eastAsia" w:eastAsia="黑体"/>
                <w:color w:val="000000"/>
                <w:sz w:val="22"/>
                <w:szCs w:val="22"/>
              </w:rPr>
              <w:t>滕龙机械（招引）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5000" w:type="pct"/>
            <w:gridSpan w:val="6"/>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eastAsia="黑体"/>
                <w:color w:val="000000"/>
                <w:sz w:val="22"/>
                <w:szCs w:val="22"/>
              </w:rPr>
            </w:pPr>
            <w:r>
              <w:rPr>
                <w:rFonts w:hint="eastAsia" w:eastAsia="黑体"/>
                <w:color w:val="000000"/>
                <w:sz w:val="22"/>
                <w:szCs w:val="22"/>
              </w:rPr>
              <w:t>5</w:t>
            </w:r>
            <w:r>
              <w:rPr>
                <w:rFonts w:eastAsia="黑体"/>
                <w:color w:val="000000"/>
                <w:sz w:val="22"/>
                <w:szCs w:val="22"/>
              </w:rPr>
              <w:t>0</w:t>
            </w:r>
            <w:r>
              <w:rPr>
                <w:rFonts w:hint="eastAsia" w:eastAsia="黑体"/>
                <w:color w:val="000000"/>
                <w:sz w:val="22"/>
                <w:szCs w:val="22"/>
              </w:rPr>
              <w:t>亿级企业培育清单（2家）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1</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意尔康股份有限公司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20-30亿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20-30亿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30-50亿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hint="eastAsia" w:eastAsia="黑体"/>
                <w:color w:val="000000"/>
                <w:kern w:val="0"/>
                <w:sz w:val="22"/>
                <w:szCs w:val="22"/>
                <w:lang w:bidi="ar"/>
              </w:rPr>
              <w:t>（1）28条生产线，只开了17线。（2）意尔康创新产业园，40亩，10万平方。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2</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起步股份有限公司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hint="eastAsia" w:eastAsia="黑体"/>
                <w:color w:val="000000"/>
                <w:kern w:val="0"/>
                <w:sz w:val="22"/>
                <w:szCs w:val="22"/>
                <w:lang w:bidi="ar"/>
              </w:rPr>
              <w:t>5</w:t>
            </w:r>
            <w:r>
              <w:rPr>
                <w:rFonts w:eastAsia="黑体"/>
                <w:color w:val="000000"/>
                <w:kern w:val="0"/>
                <w:sz w:val="22"/>
                <w:szCs w:val="22"/>
                <w:lang w:bidi="ar"/>
              </w:rPr>
              <w:t>0</w:t>
            </w:r>
            <w:r>
              <w:rPr>
                <w:rFonts w:hint="eastAsia" w:eastAsia="黑体"/>
                <w:color w:val="000000"/>
                <w:kern w:val="0"/>
                <w:sz w:val="22"/>
                <w:szCs w:val="22"/>
                <w:lang w:bidi="ar"/>
              </w:rPr>
              <w:t>-6</w:t>
            </w:r>
            <w:r>
              <w:rPr>
                <w:rFonts w:eastAsia="黑体"/>
                <w:color w:val="000000"/>
                <w:kern w:val="0"/>
                <w:sz w:val="22"/>
                <w:szCs w:val="22"/>
                <w:lang w:bidi="ar"/>
              </w:rPr>
              <w:t>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hint="eastAsia" w:eastAsia="黑体"/>
                <w:color w:val="000000"/>
                <w:kern w:val="0"/>
                <w:sz w:val="22"/>
                <w:szCs w:val="22"/>
                <w:lang w:bidi="ar"/>
              </w:rPr>
              <w:t>起步科创园273亩，投资20亿，预计产出50-60亿元（2024年达产）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5000" w:type="pct"/>
            <w:gridSpan w:val="6"/>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eastAsia="黑体"/>
                <w:color w:val="000000"/>
                <w:sz w:val="22"/>
                <w:szCs w:val="22"/>
              </w:rPr>
            </w:pPr>
            <w:r>
              <w:rPr>
                <w:rFonts w:hint="eastAsia" w:eastAsia="黑体"/>
                <w:color w:val="000000"/>
                <w:sz w:val="22"/>
                <w:szCs w:val="22"/>
              </w:rPr>
              <w:t>1</w:t>
            </w:r>
            <w:r>
              <w:rPr>
                <w:rFonts w:eastAsia="黑体"/>
                <w:color w:val="000000"/>
                <w:sz w:val="22"/>
                <w:szCs w:val="22"/>
              </w:rPr>
              <w:t>0</w:t>
            </w:r>
            <w:r>
              <w:rPr>
                <w:rFonts w:hint="eastAsia" w:eastAsia="黑体"/>
                <w:color w:val="000000"/>
                <w:sz w:val="22"/>
                <w:szCs w:val="22"/>
              </w:rPr>
              <w:t>亿级企业培育清单（1</w:t>
            </w:r>
            <w:r>
              <w:rPr>
                <w:rFonts w:eastAsia="黑体"/>
                <w:color w:val="000000"/>
                <w:sz w:val="22"/>
                <w:szCs w:val="22"/>
              </w:rPr>
              <w:t>0</w:t>
            </w:r>
            <w:r>
              <w:rPr>
                <w:rFonts w:hint="eastAsia" w:eastAsia="黑体"/>
                <w:color w:val="000000"/>
                <w:sz w:val="22"/>
                <w:szCs w:val="22"/>
              </w:rPr>
              <w:t>-</w:t>
            </w:r>
            <w:r>
              <w:rPr>
                <w:rFonts w:eastAsia="黑体"/>
                <w:color w:val="000000"/>
                <w:sz w:val="22"/>
                <w:szCs w:val="22"/>
              </w:rPr>
              <w:t>15</w:t>
            </w:r>
            <w:r>
              <w:rPr>
                <w:rFonts w:hint="eastAsia" w:eastAsia="黑体"/>
                <w:color w:val="000000"/>
                <w:sz w:val="22"/>
                <w:szCs w:val="22"/>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1</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浙江卓业能源装备有限公司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3-5亿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2</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浙江联侨合成革有限公司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3-5亿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hint="eastAsia" w:eastAsia="黑体"/>
                <w:color w:val="000000"/>
                <w:sz w:val="22"/>
                <w:szCs w:val="22"/>
              </w:rPr>
              <w:t>3</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青田县南方玻纤原料有限公司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hint="eastAsia" w:eastAsia="黑体"/>
                <w:color w:val="000000"/>
                <w:kern w:val="0"/>
                <w:sz w:val="22"/>
                <w:szCs w:val="22"/>
                <w:lang w:bidi="ar"/>
              </w:rPr>
              <w:t>拟投资玻纤电线杆项目（替代传统水泥杆，运费高、维护费高）。25亩，投资1.5亿=固定投资1.2亿+设备0.3亿，12条产线，年产4万根，年产1.8亿。（2）探索医疗器具用玻纤项目。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4</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浙江智尚实业有限公司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5</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钢一控股集团有限公司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6</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青田球豹阀门配件有限公司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eastAsia="黑体"/>
                <w:color w:val="000000"/>
                <w:kern w:val="0"/>
                <w:sz w:val="22"/>
                <w:szCs w:val="22"/>
                <w:lang w:bidi="ar"/>
              </w:rPr>
            </w:pPr>
            <w:r>
              <w:rPr>
                <w:rFonts w:hint="eastAsia" w:eastAsia="黑体"/>
                <w:color w:val="000000"/>
                <w:kern w:val="0"/>
                <w:sz w:val="22"/>
                <w:szCs w:val="22"/>
                <w:lang w:bidi="ar"/>
              </w:rPr>
              <w:t>年产15000吨锻造阀门配件，</w:t>
            </w:r>
          </w:p>
          <w:p>
            <w:pPr>
              <w:widowControl/>
              <w:spacing w:line="360" w:lineRule="exact"/>
              <w:ind w:firstLine="0" w:firstLineChars="0"/>
              <w:jc w:val="center"/>
              <w:textAlignment w:val="center"/>
              <w:rPr>
                <w:rFonts w:eastAsia="黑体"/>
                <w:color w:val="000000"/>
                <w:sz w:val="22"/>
                <w:szCs w:val="22"/>
              </w:rPr>
            </w:pPr>
            <w:r>
              <w:rPr>
                <w:rFonts w:hint="eastAsia" w:eastAsia="黑体"/>
                <w:color w:val="000000"/>
                <w:kern w:val="0"/>
                <w:sz w:val="22"/>
                <w:szCs w:val="22"/>
                <w:lang w:bidi="ar"/>
              </w:rPr>
              <w:t>投资1.1亿元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7</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丽水市神飞利益保安用品有限公司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8</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浙江东南管桩有限公司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sz w:val="22"/>
                <w:szCs w:val="22"/>
              </w:rPr>
            </w:pPr>
            <w:r>
              <w:rPr>
                <w:rFonts w:eastAsia="黑体"/>
                <w:color w:val="000000"/>
                <w:kern w:val="0"/>
                <w:sz w:val="22"/>
                <w:szCs w:val="22"/>
                <w:lang w:bidi="ar"/>
              </w:rPr>
              <w:t>9</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浙江省青田超达铸造有限公司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sz w:val="22"/>
                <w:szCs w:val="22"/>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10</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浙江展风鞋业有限公司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11</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浙江柯勒节能门窗幕墙有限公司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13</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浙江多迪斯泰保健器材有限公司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14</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青田新机电器有限公司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15</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浙江赛欧包装有限公司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eastAsia="黑体"/>
                <w:color w:val="000000"/>
                <w:kern w:val="0"/>
                <w:sz w:val="22"/>
                <w:szCs w:val="22"/>
                <w:lang w:bidi="ar"/>
              </w:rPr>
              <w:t>十亿级企业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5000" w:type="pct"/>
            <w:gridSpan w:val="6"/>
            <w:shd w:val="clear" w:color="auto" w:fill="auto"/>
            <w:noWrap/>
            <w:tcMar>
              <w:top w:w="8" w:type="dxa"/>
              <w:left w:w="8" w:type="dxa"/>
              <w:right w:w="8" w:type="dxa"/>
            </w:tcMar>
            <w:vAlign w:val="center"/>
          </w:tcPr>
          <w:p>
            <w:pPr>
              <w:widowControl/>
              <w:spacing w:line="360" w:lineRule="exact"/>
              <w:ind w:firstLine="0" w:firstLineChars="0"/>
              <w:jc w:val="left"/>
              <w:textAlignment w:val="center"/>
              <w:rPr>
                <w:rFonts w:eastAsia="黑体"/>
                <w:color w:val="000000"/>
                <w:kern w:val="0"/>
                <w:sz w:val="22"/>
                <w:szCs w:val="22"/>
                <w:lang w:bidi="ar"/>
              </w:rPr>
            </w:pPr>
            <w:r>
              <w:rPr>
                <w:rFonts w:hint="eastAsia" w:eastAsia="黑体"/>
                <w:color w:val="000000"/>
                <w:kern w:val="0"/>
                <w:sz w:val="22"/>
                <w:szCs w:val="22"/>
                <w:lang w:bidi="ar"/>
              </w:rPr>
              <w:t>5亿级企业培育清单（5-10家）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hint="eastAsia" w:eastAsia="黑体"/>
                <w:color w:val="000000"/>
                <w:sz w:val="22"/>
                <w:szCs w:val="22"/>
              </w:rPr>
              <w:t>1</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青田美进家五金锁业有限公司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hint="eastAsia" w:eastAsia="黑体"/>
                <w:color w:val="000000"/>
                <w:kern w:val="0"/>
                <w:sz w:val="22"/>
                <w:szCs w:val="22"/>
                <w:lang w:bidi="ar"/>
              </w:rPr>
              <w:t>五</w:t>
            </w:r>
            <w:r>
              <w:rPr>
                <w:rFonts w:eastAsia="黑体"/>
                <w:color w:val="000000"/>
                <w:kern w:val="0"/>
                <w:sz w:val="22"/>
                <w:szCs w:val="22"/>
                <w:lang w:bidi="ar"/>
              </w:rPr>
              <w:t>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hint="eastAsia" w:eastAsia="黑体"/>
                <w:color w:val="000000"/>
                <w:sz w:val="22"/>
                <w:szCs w:val="22"/>
              </w:rPr>
              <w:t>2</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浙江申宇科技股份有限公司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hint="eastAsia" w:eastAsia="黑体"/>
                <w:color w:val="000000"/>
                <w:kern w:val="0"/>
                <w:sz w:val="22"/>
                <w:szCs w:val="22"/>
                <w:lang w:bidi="ar"/>
              </w:rPr>
              <w:t>五</w:t>
            </w:r>
            <w:r>
              <w:rPr>
                <w:rFonts w:eastAsia="黑体"/>
                <w:color w:val="000000"/>
                <w:kern w:val="0"/>
                <w:sz w:val="22"/>
                <w:szCs w:val="22"/>
                <w:lang w:bidi="ar"/>
              </w:rPr>
              <w:t>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hint="eastAsia" w:eastAsia="黑体"/>
                <w:color w:val="000000"/>
                <w:sz w:val="22"/>
                <w:szCs w:val="22"/>
              </w:rPr>
              <w:t>3</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中建绿能装饰有限公司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1-3亿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10-20亿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hint="eastAsia" w:eastAsia="黑体"/>
                <w:color w:val="000000"/>
                <w:kern w:val="0"/>
                <w:sz w:val="22"/>
                <w:szCs w:val="22"/>
                <w:lang w:bidi="ar"/>
              </w:rPr>
              <w:t>五</w:t>
            </w:r>
            <w:r>
              <w:rPr>
                <w:rFonts w:eastAsia="黑体"/>
                <w:color w:val="000000"/>
                <w:kern w:val="0"/>
                <w:sz w:val="22"/>
                <w:szCs w:val="22"/>
                <w:lang w:bidi="ar"/>
              </w:rPr>
              <w:t>亿级企业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4</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安特仪表集团有限公司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0.5-1亿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1-5亿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0" w:hRule="atLeast"/>
        </w:trPr>
        <w:tc>
          <w:tcPr>
            <w:tcW w:w="229" w:type="pct"/>
            <w:shd w:val="clear" w:color="auto" w:fill="auto"/>
            <w:noWrap/>
            <w:tcMar>
              <w:top w:w="8" w:type="dxa"/>
              <w:left w:w="8" w:type="dxa"/>
              <w:right w:w="8" w:type="dxa"/>
            </w:tcMar>
            <w:vAlign w:val="center"/>
          </w:tcPr>
          <w:p>
            <w:pPr>
              <w:widowControl/>
              <w:spacing w:line="360" w:lineRule="exact"/>
              <w:ind w:firstLine="0" w:firstLineChars="0"/>
              <w:jc w:val="center"/>
              <w:textAlignment w:val="bottom"/>
              <w:rPr>
                <w:rFonts w:eastAsia="黑体"/>
                <w:color w:val="000000"/>
                <w:kern w:val="0"/>
                <w:sz w:val="22"/>
                <w:szCs w:val="22"/>
                <w:lang w:bidi="ar"/>
              </w:rPr>
            </w:pPr>
            <w:r>
              <w:rPr>
                <w:rFonts w:eastAsia="黑体"/>
                <w:color w:val="000000"/>
                <w:kern w:val="0"/>
                <w:sz w:val="22"/>
                <w:szCs w:val="22"/>
                <w:lang w:bidi="ar"/>
              </w:rPr>
              <w:t>5</w:t>
            </w:r>
          </w:p>
        </w:tc>
        <w:tc>
          <w:tcPr>
            <w:tcW w:w="1364" w:type="pct"/>
            <w:shd w:val="clear" w:color="auto" w:fill="auto"/>
            <w:noWrap/>
            <w:tcMar>
              <w:top w:w="8" w:type="dxa"/>
              <w:left w:w="8" w:type="dxa"/>
              <w:right w:w="8" w:type="dxa"/>
            </w:tcMar>
            <w:vAlign w:val="bottom"/>
          </w:tcPr>
          <w:p>
            <w:pPr>
              <w:widowControl/>
              <w:spacing w:line="360" w:lineRule="exact"/>
              <w:ind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浙江三辰电器股份有限公司</w:t>
            </w:r>
          </w:p>
        </w:tc>
        <w:tc>
          <w:tcPr>
            <w:tcW w:w="56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0.5-1亿</w:t>
            </w:r>
          </w:p>
        </w:tc>
        <w:tc>
          <w:tcPr>
            <w:tcW w:w="618"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1-5亿</w:t>
            </w:r>
          </w:p>
        </w:tc>
        <w:tc>
          <w:tcPr>
            <w:tcW w:w="605" w:type="pct"/>
            <w:shd w:val="clear" w:color="auto" w:fill="auto"/>
            <w:noWrap/>
            <w:tcMar>
              <w:top w:w="8" w:type="dxa"/>
              <w:left w:w="8" w:type="dxa"/>
              <w:right w:w="8" w:type="dxa"/>
            </w:tcMar>
            <w:vAlign w:val="bottom"/>
          </w:tcPr>
          <w:p>
            <w:pPr>
              <w:widowControl/>
              <w:spacing w:line="360" w:lineRule="exact"/>
              <w:ind w:right="150" w:rightChars="50" w:firstLine="0" w:firstLineChars="0"/>
              <w:jc w:val="left"/>
              <w:textAlignment w:val="bottom"/>
              <w:rPr>
                <w:rFonts w:eastAsia="黑体"/>
                <w:color w:val="000000"/>
                <w:kern w:val="0"/>
                <w:sz w:val="22"/>
                <w:szCs w:val="22"/>
                <w:lang w:bidi="ar"/>
              </w:rPr>
            </w:pPr>
            <w:r>
              <w:rPr>
                <w:rFonts w:eastAsia="黑体"/>
                <w:color w:val="000000"/>
                <w:kern w:val="0"/>
                <w:sz w:val="22"/>
                <w:szCs w:val="22"/>
                <w:lang w:bidi="ar"/>
              </w:rPr>
              <w:t>5-10亿</w:t>
            </w:r>
          </w:p>
        </w:tc>
        <w:tc>
          <w:tcPr>
            <w:tcW w:w="1619" w:type="pct"/>
            <w:shd w:val="clear" w:color="auto" w:fill="auto"/>
            <w:noWrap/>
            <w:tcMar>
              <w:top w:w="8" w:type="dxa"/>
              <w:left w:w="8" w:type="dxa"/>
              <w:right w:w="8" w:type="dxa"/>
            </w:tcMar>
            <w:vAlign w:val="center"/>
          </w:tcPr>
          <w:p>
            <w:pPr>
              <w:widowControl/>
              <w:spacing w:line="360" w:lineRule="exact"/>
              <w:ind w:firstLine="0" w:firstLineChars="0"/>
              <w:jc w:val="center"/>
              <w:textAlignment w:val="center"/>
              <w:rPr>
                <w:rFonts w:eastAsia="黑体"/>
                <w:color w:val="000000"/>
                <w:kern w:val="0"/>
                <w:sz w:val="22"/>
                <w:szCs w:val="22"/>
                <w:lang w:bidi="ar"/>
              </w:rPr>
            </w:pPr>
            <w:r>
              <w:rPr>
                <w:rFonts w:hint="eastAsia" w:eastAsia="黑体"/>
                <w:color w:val="000000"/>
                <w:kern w:val="0"/>
                <w:sz w:val="22"/>
                <w:szCs w:val="22"/>
                <w:lang w:bidi="ar"/>
              </w:rPr>
              <w:t>五</w:t>
            </w:r>
            <w:r>
              <w:rPr>
                <w:rFonts w:eastAsia="黑体"/>
                <w:color w:val="000000"/>
                <w:kern w:val="0"/>
                <w:sz w:val="22"/>
                <w:szCs w:val="22"/>
                <w:lang w:bidi="ar"/>
              </w:rPr>
              <w:t>亿级企业</w:t>
            </w:r>
          </w:p>
        </w:tc>
      </w:tr>
    </w:tbl>
    <w:p>
      <w:pPr>
        <w:pStyle w:val="12"/>
        <w:ind w:firstLine="600"/>
      </w:pPr>
    </w:p>
    <w:p>
      <w:pPr>
        <w:pStyle w:val="12"/>
        <w:ind w:firstLine="0" w:firstLineChars="0"/>
      </w:pPr>
    </w:p>
    <w:p>
      <w:pPr>
        <w:pStyle w:val="4"/>
        <w:spacing w:line="560" w:lineRule="exact"/>
        <w:ind w:firstLine="0" w:firstLineChars="0"/>
        <w:contextualSpacing/>
        <w:rPr>
          <w:rFonts w:ascii="楷体_GB2312" w:eastAsia="楷体_GB2312"/>
          <w:color w:val="000000"/>
          <w:sz w:val="32"/>
        </w:rPr>
      </w:pPr>
    </w:p>
    <w:sectPr>
      <w:pgSz w:w="11906" w:h="16838"/>
      <w:pgMar w:top="1440" w:right="1841" w:bottom="1440" w:left="1803" w:header="851" w:footer="992" w:gutter="0"/>
      <w:cols w:space="0" w:num="1"/>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6569005"/>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pPr>
      <w:pStyle w:val="1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434891"/>
    </w:sdtPr>
    <w:sdtContent>
      <w:p>
        <w:pPr>
          <w:pStyle w:val="14"/>
          <w:ind w:firstLine="360"/>
          <w:jc w:val="center"/>
        </w:pPr>
        <w:r>
          <w:fldChar w:fldCharType="begin"/>
        </w:r>
        <w:r>
          <w:instrText xml:space="preserve">PAGE   \* MERGEFORMAT</w:instrText>
        </w:r>
        <w:r>
          <w:fldChar w:fldCharType="separate"/>
        </w:r>
        <w:r>
          <w:rPr>
            <w:lang w:val="zh-CN"/>
          </w:rPr>
          <w:t>2</w:t>
        </w:r>
        <w:r>
          <w:fldChar w:fldCharType="end"/>
        </w:r>
      </w:p>
    </w:sdtContent>
  </w:sdt>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7"/>
        <w:ind w:left="1200" w:firstLine="300"/>
        <w:rPr>
          <w:rFonts w:asciiTheme="majorEastAsia" w:hAnsiTheme="majorEastAsia" w:eastAsiaTheme="majorEastAsia" w:cstheme="majorEastAsia"/>
          <w:sz w:val="15"/>
        </w:rPr>
      </w:pPr>
      <w:r>
        <w:rPr>
          <w:rStyle w:val="28"/>
          <w:rFonts w:hint="eastAsia" w:asciiTheme="majorEastAsia" w:hAnsiTheme="majorEastAsia" w:eastAsiaTheme="majorEastAsia" w:cstheme="majorEastAsia"/>
          <w:sz w:val="15"/>
        </w:rPr>
        <w:footnoteRef/>
      </w:r>
      <w:r>
        <w:rPr>
          <w:rFonts w:hint="eastAsia" w:asciiTheme="majorEastAsia" w:hAnsiTheme="majorEastAsia" w:eastAsiaTheme="majorEastAsia" w:cstheme="majorEastAsia"/>
          <w:sz w:val="15"/>
        </w:rPr>
        <w:t xml:space="preserve"> 2021</w:t>
      </w:r>
      <w:r>
        <w:rPr>
          <w:rFonts w:hint="eastAsia" w:asciiTheme="majorEastAsia" w:hAnsiTheme="majorEastAsia" w:eastAsiaTheme="majorEastAsia" w:cstheme="majorEastAsia"/>
          <w:sz w:val="15"/>
          <w:lang w:eastAsia="zh-Hans"/>
        </w:rPr>
        <w:t>年</w:t>
      </w:r>
      <w:r>
        <w:rPr>
          <w:rFonts w:hint="eastAsia" w:asciiTheme="majorEastAsia" w:hAnsiTheme="majorEastAsia" w:eastAsiaTheme="majorEastAsia" w:cstheme="majorEastAsia"/>
          <w:sz w:val="15"/>
        </w:rPr>
        <w:t>1</w:t>
      </w:r>
      <w:r>
        <w:rPr>
          <w:rFonts w:hint="eastAsia" w:asciiTheme="majorEastAsia" w:hAnsiTheme="majorEastAsia" w:eastAsiaTheme="majorEastAsia" w:cstheme="majorEastAsia"/>
          <w:sz w:val="15"/>
          <w:lang w:eastAsia="zh-Hans"/>
        </w:rPr>
        <w:t>月</w:t>
      </w:r>
      <w:r>
        <w:rPr>
          <w:rFonts w:hint="eastAsia" w:asciiTheme="majorEastAsia" w:hAnsiTheme="majorEastAsia" w:eastAsiaTheme="majorEastAsia" w:cstheme="majorEastAsia"/>
          <w:sz w:val="15"/>
        </w:rPr>
        <w:t>8</w:t>
      </w:r>
      <w:r>
        <w:rPr>
          <w:rFonts w:hint="eastAsia" w:asciiTheme="majorEastAsia" w:hAnsiTheme="majorEastAsia" w:eastAsiaTheme="majorEastAsia" w:cstheme="majorEastAsia"/>
          <w:sz w:val="15"/>
          <w:lang w:eastAsia="zh-Hans"/>
        </w:rPr>
        <w:t>日</w:t>
      </w:r>
      <w:r>
        <w:rPr>
          <w:rFonts w:hint="eastAsia" w:asciiTheme="majorEastAsia" w:hAnsiTheme="majorEastAsia" w:eastAsiaTheme="majorEastAsia" w:cstheme="majorEastAsia"/>
          <w:sz w:val="15"/>
        </w:rPr>
        <w:t xml:space="preserve"> 周和平</w:t>
      </w:r>
      <w:r>
        <w:rPr>
          <w:rFonts w:hint="eastAsia" w:asciiTheme="majorEastAsia" w:hAnsiTheme="majorEastAsia" w:eastAsiaTheme="majorEastAsia" w:cstheme="majorEastAsia"/>
          <w:sz w:val="15"/>
          <w:lang w:eastAsia="zh-Hans"/>
        </w:rPr>
        <w:t>县长</w:t>
      </w:r>
      <w:r>
        <w:rPr>
          <w:rFonts w:hint="eastAsia" w:asciiTheme="majorEastAsia" w:hAnsiTheme="majorEastAsia" w:eastAsiaTheme="majorEastAsia" w:cstheme="majorEastAsia"/>
          <w:sz w:val="15"/>
        </w:rPr>
        <w:t>：高扬“丽水之干”奋斗旗帜 奋力争创山区加快跨越式发展先行区</w:t>
      </w:r>
      <w:r>
        <w:rPr>
          <w:rFonts w:hint="eastAsia" w:asciiTheme="majorEastAsia" w:hAnsiTheme="majorEastAsia" w:eastAsiaTheme="majorEastAsia" w:cstheme="majorEastAsia"/>
          <w:sz w:val="15"/>
          <w:lang w:eastAsia="zh-Hans"/>
        </w:rPr>
        <w:t>专访</w:t>
      </w:r>
    </w:p>
  </w:footnote>
  <w:footnote w:id="1">
    <w:p>
      <w:pPr>
        <w:pStyle w:val="17"/>
        <w:ind w:left="1200" w:firstLine="360"/>
      </w:pPr>
      <w:r>
        <w:rPr>
          <w:rStyle w:val="28"/>
        </w:rPr>
        <w:footnoteRef/>
      </w:r>
      <w:r>
        <w:t xml:space="preserve"> </w:t>
      </w:r>
      <w:r>
        <w:rPr>
          <w:rFonts w:hint="eastAsia"/>
        </w:rPr>
        <w:t>2020年12月</w:t>
      </w:r>
      <w:r>
        <w:t xml:space="preserve"> </w:t>
      </w:r>
      <w:r>
        <w:rPr>
          <w:rFonts w:hint="eastAsia"/>
          <w:lang w:eastAsia="zh-Hans"/>
        </w:rPr>
        <w:t>住宅价格数据</w:t>
      </w:r>
      <w:r>
        <w:rPr>
          <w:lang w:eastAsia="zh-Hans"/>
        </w:rPr>
        <w:t>-</w:t>
      </w:r>
      <w:r>
        <w:rPr>
          <w:rFonts w:hint="eastAsia"/>
          <w:lang w:eastAsia="zh-Hans"/>
        </w:rPr>
        <w:t>数据来源</w:t>
      </w:r>
      <w:r>
        <w:rPr>
          <w:lang w:eastAsia="zh-Hans"/>
        </w:rPr>
        <w:t>：</w:t>
      </w:r>
      <w:r>
        <w:rPr>
          <w:rFonts w:hint="eastAsia"/>
          <w:lang w:eastAsia="zh-Hans"/>
        </w:rPr>
        <w:t>聚汇数据提供</w:t>
      </w:r>
      <w:r>
        <w:rPr>
          <w:lang w:eastAsia="zh-Hans"/>
        </w:rPr>
        <w:t xml:space="preserve"> </w:t>
      </w:r>
    </w:p>
  </w:footnote>
  <w:footnote w:id="2">
    <w:p>
      <w:pPr>
        <w:pStyle w:val="17"/>
        <w:ind w:firstLine="360"/>
      </w:pPr>
      <w:r>
        <w:rPr>
          <w:rStyle w:val="28"/>
        </w:rPr>
        <w:footnoteRef/>
      </w:r>
      <w:r>
        <w:t xml:space="preserve"> </w:t>
      </w:r>
      <w:r>
        <w:rPr>
          <w:rFonts w:hint="eastAsia"/>
        </w:rPr>
        <w:t>突破华侨投资难题，打造一流华侨投资环境。从华侨商贸优势向华侨投资优势转变。</w:t>
      </w:r>
    </w:p>
  </w:footnote>
  <w:footnote w:id="3">
    <w:p>
      <w:pPr>
        <w:pStyle w:val="17"/>
        <w:ind w:firstLine="360"/>
      </w:pPr>
      <w:r>
        <w:rPr>
          <w:rStyle w:val="28"/>
        </w:rPr>
        <w:footnoteRef/>
      </w:r>
      <w:r>
        <w:t xml:space="preserve"> </w:t>
      </w:r>
      <w:r>
        <w:rPr>
          <w:rFonts w:hint="eastAsia"/>
        </w:rPr>
        <w:t>根据《青田县生态工业五年倍增目标平台支撑方案》，预计“十四五”期间新增工业用地5</w:t>
      </w:r>
      <w:r>
        <w:t>720</w:t>
      </w:r>
      <w:r>
        <w:rPr>
          <w:rFonts w:hint="eastAsia"/>
        </w:rPr>
        <w:t>亩，到2</w:t>
      </w:r>
      <w:r>
        <w:t>025</w:t>
      </w:r>
      <w:r>
        <w:rPr>
          <w:rFonts w:hint="eastAsia"/>
        </w:rPr>
        <w:t>年工业用地面积达1</w:t>
      </w:r>
      <w:r>
        <w:t>1420</w:t>
      </w:r>
      <w:r>
        <w:rPr>
          <w:rFonts w:hint="eastAsia"/>
        </w:rPr>
        <w:t>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1533" w:rightChars="511"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CB55A8"/>
    <w:multiLevelType w:val="singleLevel"/>
    <w:tmpl w:val="F4CB55A8"/>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F35"/>
    <w:rsid w:val="000056C2"/>
    <w:rsid w:val="00006924"/>
    <w:rsid w:val="00013F29"/>
    <w:rsid w:val="00022B2C"/>
    <w:rsid w:val="0003260F"/>
    <w:rsid w:val="00032C42"/>
    <w:rsid w:val="000375F7"/>
    <w:rsid w:val="000378AA"/>
    <w:rsid w:val="00051B2B"/>
    <w:rsid w:val="000529DB"/>
    <w:rsid w:val="000611ED"/>
    <w:rsid w:val="00075BDA"/>
    <w:rsid w:val="0007645B"/>
    <w:rsid w:val="00077EE4"/>
    <w:rsid w:val="000802B3"/>
    <w:rsid w:val="000920A5"/>
    <w:rsid w:val="0009237F"/>
    <w:rsid w:val="00094C1C"/>
    <w:rsid w:val="00094F94"/>
    <w:rsid w:val="000A516C"/>
    <w:rsid w:val="000A56BB"/>
    <w:rsid w:val="000A6483"/>
    <w:rsid w:val="000B6740"/>
    <w:rsid w:val="000D1666"/>
    <w:rsid w:val="000E084C"/>
    <w:rsid w:val="000F1C34"/>
    <w:rsid w:val="00100286"/>
    <w:rsid w:val="001046CE"/>
    <w:rsid w:val="001049B8"/>
    <w:rsid w:val="001217D3"/>
    <w:rsid w:val="00123214"/>
    <w:rsid w:val="00127AA5"/>
    <w:rsid w:val="00133AB8"/>
    <w:rsid w:val="0013464D"/>
    <w:rsid w:val="00165592"/>
    <w:rsid w:val="00166211"/>
    <w:rsid w:val="00180452"/>
    <w:rsid w:val="00190F69"/>
    <w:rsid w:val="00191B9D"/>
    <w:rsid w:val="00196D92"/>
    <w:rsid w:val="001A5736"/>
    <w:rsid w:val="001A5EAE"/>
    <w:rsid w:val="001C6672"/>
    <w:rsid w:val="001C7EC3"/>
    <w:rsid w:val="001D1312"/>
    <w:rsid w:val="001D7320"/>
    <w:rsid w:val="001F5FFC"/>
    <w:rsid w:val="00202071"/>
    <w:rsid w:val="00203808"/>
    <w:rsid w:val="0020713D"/>
    <w:rsid w:val="002078D8"/>
    <w:rsid w:val="00221A41"/>
    <w:rsid w:val="0022596D"/>
    <w:rsid w:val="00231865"/>
    <w:rsid w:val="00232B82"/>
    <w:rsid w:val="00235439"/>
    <w:rsid w:val="00247F66"/>
    <w:rsid w:val="0026397F"/>
    <w:rsid w:val="00272553"/>
    <w:rsid w:val="002725F5"/>
    <w:rsid w:val="002A1366"/>
    <w:rsid w:val="002B1435"/>
    <w:rsid w:val="002B3363"/>
    <w:rsid w:val="002B6FFE"/>
    <w:rsid w:val="002B76FD"/>
    <w:rsid w:val="002C07F3"/>
    <w:rsid w:val="002D0F92"/>
    <w:rsid w:val="002D25D0"/>
    <w:rsid w:val="002E072C"/>
    <w:rsid w:val="002E25EC"/>
    <w:rsid w:val="002E3478"/>
    <w:rsid w:val="002E749B"/>
    <w:rsid w:val="00305073"/>
    <w:rsid w:val="003052D0"/>
    <w:rsid w:val="00313447"/>
    <w:rsid w:val="00344565"/>
    <w:rsid w:val="00346B88"/>
    <w:rsid w:val="00346D46"/>
    <w:rsid w:val="00352BC5"/>
    <w:rsid w:val="0035414A"/>
    <w:rsid w:val="00354C29"/>
    <w:rsid w:val="00386ED3"/>
    <w:rsid w:val="0038742E"/>
    <w:rsid w:val="00390DD0"/>
    <w:rsid w:val="0039583D"/>
    <w:rsid w:val="003B48BC"/>
    <w:rsid w:val="003B7F62"/>
    <w:rsid w:val="003E0D78"/>
    <w:rsid w:val="003E0DFA"/>
    <w:rsid w:val="003E1059"/>
    <w:rsid w:val="003E4064"/>
    <w:rsid w:val="003E63B2"/>
    <w:rsid w:val="003F1768"/>
    <w:rsid w:val="003F2A4C"/>
    <w:rsid w:val="004026E6"/>
    <w:rsid w:val="004116B2"/>
    <w:rsid w:val="00411F77"/>
    <w:rsid w:val="00423CEB"/>
    <w:rsid w:val="00436F85"/>
    <w:rsid w:val="0043730A"/>
    <w:rsid w:val="0044233D"/>
    <w:rsid w:val="00452F4C"/>
    <w:rsid w:val="00453B0D"/>
    <w:rsid w:val="00456890"/>
    <w:rsid w:val="00462B70"/>
    <w:rsid w:val="004635B1"/>
    <w:rsid w:val="00465F47"/>
    <w:rsid w:val="004660E3"/>
    <w:rsid w:val="00466FFB"/>
    <w:rsid w:val="004762E2"/>
    <w:rsid w:val="0048711A"/>
    <w:rsid w:val="00491C3E"/>
    <w:rsid w:val="004A1107"/>
    <w:rsid w:val="004A63D1"/>
    <w:rsid w:val="004B5040"/>
    <w:rsid w:val="004B752A"/>
    <w:rsid w:val="004D05F4"/>
    <w:rsid w:val="004D1C72"/>
    <w:rsid w:val="004D2960"/>
    <w:rsid w:val="004F3B86"/>
    <w:rsid w:val="004F7E99"/>
    <w:rsid w:val="005053B6"/>
    <w:rsid w:val="00506222"/>
    <w:rsid w:val="00512F89"/>
    <w:rsid w:val="005137D9"/>
    <w:rsid w:val="00522CB5"/>
    <w:rsid w:val="00523BDF"/>
    <w:rsid w:val="00537D08"/>
    <w:rsid w:val="00544FFA"/>
    <w:rsid w:val="00546289"/>
    <w:rsid w:val="005505AF"/>
    <w:rsid w:val="005562E1"/>
    <w:rsid w:val="00573658"/>
    <w:rsid w:val="00574943"/>
    <w:rsid w:val="00574B82"/>
    <w:rsid w:val="00574E6F"/>
    <w:rsid w:val="00575345"/>
    <w:rsid w:val="00580ADC"/>
    <w:rsid w:val="00597214"/>
    <w:rsid w:val="00597C88"/>
    <w:rsid w:val="005A1280"/>
    <w:rsid w:val="005A42D7"/>
    <w:rsid w:val="005A7707"/>
    <w:rsid w:val="005B2400"/>
    <w:rsid w:val="005D4295"/>
    <w:rsid w:val="005D42AF"/>
    <w:rsid w:val="005D652D"/>
    <w:rsid w:val="005F1796"/>
    <w:rsid w:val="00602520"/>
    <w:rsid w:val="00604544"/>
    <w:rsid w:val="00610500"/>
    <w:rsid w:val="00612FB9"/>
    <w:rsid w:val="00613106"/>
    <w:rsid w:val="00615B3D"/>
    <w:rsid w:val="00621EC0"/>
    <w:rsid w:val="00622226"/>
    <w:rsid w:val="00630C88"/>
    <w:rsid w:val="006350C2"/>
    <w:rsid w:val="006455BB"/>
    <w:rsid w:val="006520E5"/>
    <w:rsid w:val="0065659A"/>
    <w:rsid w:val="0067260E"/>
    <w:rsid w:val="00686702"/>
    <w:rsid w:val="0069693B"/>
    <w:rsid w:val="006A366F"/>
    <w:rsid w:val="006B092B"/>
    <w:rsid w:val="006B3FCE"/>
    <w:rsid w:val="006E0E99"/>
    <w:rsid w:val="006E54CE"/>
    <w:rsid w:val="006F08B9"/>
    <w:rsid w:val="006F3288"/>
    <w:rsid w:val="0070029C"/>
    <w:rsid w:val="007054F9"/>
    <w:rsid w:val="00705AA1"/>
    <w:rsid w:val="0072359E"/>
    <w:rsid w:val="0072652E"/>
    <w:rsid w:val="00726F11"/>
    <w:rsid w:val="00726F84"/>
    <w:rsid w:val="007316C3"/>
    <w:rsid w:val="007338C2"/>
    <w:rsid w:val="00762E1E"/>
    <w:rsid w:val="00765882"/>
    <w:rsid w:val="00776CEF"/>
    <w:rsid w:val="007849F6"/>
    <w:rsid w:val="00794308"/>
    <w:rsid w:val="00795585"/>
    <w:rsid w:val="007A17F6"/>
    <w:rsid w:val="007A24DB"/>
    <w:rsid w:val="007A7C2F"/>
    <w:rsid w:val="007B6415"/>
    <w:rsid w:val="007B787B"/>
    <w:rsid w:val="007B7BD5"/>
    <w:rsid w:val="007D502F"/>
    <w:rsid w:val="007D6AC4"/>
    <w:rsid w:val="007E258C"/>
    <w:rsid w:val="007E6061"/>
    <w:rsid w:val="0080136F"/>
    <w:rsid w:val="00802F9A"/>
    <w:rsid w:val="00807E47"/>
    <w:rsid w:val="008103FC"/>
    <w:rsid w:val="00815141"/>
    <w:rsid w:val="00817C05"/>
    <w:rsid w:val="008227F6"/>
    <w:rsid w:val="008231FF"/>
    <w:rsid w:val="00824B28"/>
    <w:rsid w:val="00845C45"/>
    <w:rsid w:val="0085099D"/>
    <w:rsid w:val="00853888"/>
    <w:rsid w:val="008551F1"/>
    <w:rsid w:val="00863E75"/>
    <w:rsid w:val="00863FF0"/>
    <w:rsid w:val="008651BD"/>
    <w:rsid w:val="00866040"/>
    <w:rsid w:val="0088104E"/>
    <w:rsid w:val="00882EB7"/>
    <w:rsid w:val="00884994"/>
    <w:rsid w:val="00884F15"/>
    <w:rsid w:val="00890071"/>
    <w:rsid w:val="008A0DA1"/>
    <w:rsid w:val="008A33F4"/>
    <w:rsid w:val="008B2366"/>
    <w:rsid w:val="008C4797"/>
    <w:rsid w:val="008E68D5"/>
    <w:rsid w:val="008F04D0"/>
    <w:rsid w:val="008F353F"/>
    <w:rsid w:val="008F3E1A"/>
    <w:rsid w:val="00901E30"/>
    <w:rsid w:val="00902826"/>
    <w:rsid w:val="00904E55"/>
    <w:rsid w:val="009077CA"/>
    <w:rsid w:val="009237CA"/>
    <w:rsid w:val="00925AEF"/>
    <w:rsid w:val="00932651"/>
    <w:rsid w:val="00935823"/>
    <w:rsid w:val="00943132"/>
    <w:rsid w:val="00952DDA"/>
    <w:rsid w:val="00972405"/>
    <w:rsid w:val="00987D1B"/>
    <w:rsid w:val="00993546"/>
    <w:rsid w:val="00996553"/>
    <w:rsid w:val="009A549C"/>
    <w:rsid w:val="009A5BDD"/>
    <w:rsid w:val="009B14F3"/>
    <w:rsid w:val="009D51BC"/>
    <w:rsid w:val="009F30C5"/>
    <w:rsid w:val="009F7D56"/>
    <w:rsid w:val="00A01F31"/>
    <w:rsid w:val="00A055F0"/>
    <w:rsid w:val="00A14FAC"/>
    <w:rsid w:val="00A167EA"/>
    <w:rsid w:val="00A219B7"/>
    <w:rsid w:val="00A26CC3"/>
    <w:rsid w:val="00A2706F"/>
    <w:rsid w:val="00A32613"/>
    <w:rsid w:val="00A41E03"/>
    <w:rsid w:val="00A7139E"/>
    <w:rsid w:val="00A720E9"/>
    <w:rsid w:val="00A72ECE"/>
    <w:rsid w:val="00A77C58"/>
    <w:rsid w:val="00A8427E"/>
    <w:rsid w:val="00A84F3D"/>
    <w:rsid w:val="00A92851"/>
    <w:rsid w:val="00A94F13"/>
    <w:rsid w:val="00AA15D1"/>
    <w:rsid w:val="00AA4911"/>
    <w:rsid w:val="00AA4F07"/>
    <w:rsid w:val="00AA686E"/>
    <w:rsid w:val="00AA6EF9"/>
    <w:rsid w:val="00AB34D9"/>
    <w:rsid w:val="00AC6157"/>
    <w:rsid w:val="00AC6961"/>
    <w:rsid w:val="00AC770B"/>
    <w:rsid w:val="00AD06C4"/>
    <w:rsid w:val="00AE39F0"/>
    <w:rsid w:val="00AE6B8A"/>
    <w:rsid w:val="00AE6D69"/>
    <w:rsid w:val="00AF040E"/>
    <w:rsid w:val="00AF2D52"/>
    <w:rsid w:val="00B03E76"/>
    <w:rsid w:val="00B109F9"/>
    <w:rsid w:val="00B13C59"/>
    <w:rsid w:val="00B14221"/>
    <w:rsid w:val="00B207DE"/>
    <w:rsid w:val="00B2258A"/>
    <w:rsid w:val="00B23B47"/>
    <w:rsid w:val="00B5610D"/>
    <w:rsid w:val="00B56559"/>
    <w:rsid w:val="00B60FBB"/>
    <w:rsid w:val="00B6177E"/>
    <w:rsid w:val="00B63B34"/>
    <w:rsid w:val="00B7766B"/>
    <w:rsid w:val="00B85188"/>
    <w:rsid w:val="00B86391"/>
    <w:rsid w:val="00B9042E"/>
    <w:rsid w:val="00B943BE"/>
    <w:rsid w:val="00B95FB4"/>
    <w:rsid w:val="00BA581D"/>
    <w:rsid w:val="00BA64EE"/>
    <w:rsid w:val="00BA6F5B"/>
    <w:rsid w:val="00BB0EE3"/>
    <w:rsid w:val="00BB4E0F"/>
    <w:rsid w:val="00BC1424"/>
    <w:rsid w:val="00BC2F12"/>
    <w:rsid w:val="00BD6CD6"/>
    <w:rsid w:val="00BE3BBF"/>
    <w:rsid w:val="00BF77BA"/>
    <w:rsid w:val="00C02719"/>
    <w:rsid w:val="00C05498"/>
    <w:rsid w:val="00C14F35"/>
    <w:rsid w:val="00C378C5"/>
    <w:rsid w:val="00C530EC"/>
    <w:rsid w:val="00C54B90"/>
    <w:rsid w:val="00C57F00"/>
    <w:rsid w:val="00C61763"/>
    <w:rsid w:val="00C63A00"/>
    <w:rsid w:val="00C66A27"/>
    <w:rsid w:val="00C67693"/>
    <w:rsid w:val="00C72032"/>
    <w:rsid w:val="00C76318"/>
    <w:rsid w:val="00C85367"/>
    <w:rsid w:val="00C92B46"/>
    <w:rsid w:val="00C93248"/>
    <w:rsid w:val="00CA3065"/>
    <w:rsid w:val="00CA3641"/>
    <w:rsid w:val="00CB70AD"/>
    <w:rsid w:val="00CC0D2A"/>
    <w:rsid w:val="00CC1C0A"/>
    <w:rsid w:val="00CC408B"/>
    <w:rsid w:val="00CD3BF3"/>
    <w:rsid w:val="00CE3CE5"/>
    <w:rsid w:val="00CE7321"/>
    <w:rsid w:val="00CE735D"/>
    <w:rsid w:val="00CF03D1"/>
    <w:rsid w:val="00CF0D32"/>
    <w:rsid w:val="00CF3558"/>
    <w:rsid w:val="00CF5BAF"/>
    <w:rsid w:val="00CF7009"/>
    <w:rsid w:val="00D01460"/>
    <w:rsid w:val="00D016F3"/>
    <w:rsid w:val="00D14E4C"/>
    <w:rsid w:val="00D317F6"/>
    <w:rsid w:val="00D31BA4"/>
    <w:rsid w:val="00D459E6"/>
    <w:rsid w:val="00D47557"/>
    <w:rsid w:val="00D57404"/>
    <w:rsid w:val="00D6027B"/>
    <w:rsid w:val="00D60878"/>
    <w:rsid w:val="00D62500"/>
    <w:rsid w:val="00D65750"/>
    <w:rsid w:val="00D716B2"/>
    <w:rsid w:val="00D953FE"/>
    <w:rsid w:val="00D97F1C"/>
    <w:rsid w:val="00DA0E98"/>
    <w:rsid w:val="00DA6066"/>
    <w:rsid w:val="00DB2144"/>
    <w:rsid w:val="00DB7EE8"/>
    <w:rsid w:val="00DC3649"/>
    <w:rsid w:val="00DE1800"/>
    <w:rsid w:val="00DF5377"/>
    <w:rsid w:val="00DF599F"/>
    <w:rsid w:val="00E0264E"/>
    <w:rsid w:val="00E11564"/>
    <w:rsid w:val="00E12F9F"/>
    <w:rsid w:val="00E13E72"/>
    <w:rsid w:val="00E140A0"/>
    <w:rsid w:val="00E301A8"/>
    <w:rsid w:val="00E33A64"/>
    <w:rsid w:val="00E444E0"/>
    <w:rsid w:val="00E44C84"/>
    <w:rsid w:val="00E505C7"/>
    <w:rsid w:val="00E54451"/>
    <w:rsid w:val="00E57D14"/>
    <w:rsid w:val="00E8348C"/>
    <w:rsid w:val="00E878FD"/>
    <w:rsid w:val="00E94DFC"/>
    <w:rsid w:val="00EA1993"/>
    <w:rsid w:val="00EA26D6"/>
    <w:rsid w:val="00EA5FBF"/>
    <w:rsid w:val="00EA76A3"/>
    <w:rsid w:val="00EB426D"/>
    <w:rsid w:val="00EB57A9"/>
    <w:rsid w:val="00EC1584"/>
    <w:rsid w:val="00ED594E"/>
    <w:rsid w:val="00EE3712"/>
    <w:rsid w:val="00EE6A98"/>
    <w:rsid w:val="00F029EA"/>
    <w:rsid w:val="00F06D5B"/>
    <w:rsid w:val="00F11452"/>
    <w:rsid w:val="00F23F08"/>
    <w:rsid w:val="00F30041"/>
    <w:rsid w:val="00F32601"/>
    <w:rsid w:val="00F4466B"/>
    <w:rsid w:val="00F52D16"/>
    <w:rsid w:val="00F54A7B"/>
    <w:rsid w:val="00F572F8"/>
    <w:rsid w:val="00F604D1"/>
    <w:rsid w:val="00F615EA"/>
    <w:rsid w:val="00F7418F"/>
    <w:rsid w:val="00F8060F"/>
    <w:rsid w:val="00F85B90"/>
    <w:rsid w:val="00F91D85"/>
    <w:rsid w:val="00F9711A"/>
    <w:rsid w:val="00FA3638"/>
    <w:rsid w:val="00FA558C"/>
    <w:rsid w:val="00FA56AB"/>
    <w:rsid w:val="00FA61BD"/>
    <w:rsid w:val="00FB0C78"/>
    <w:rsid w:val="00FB3A5D"/>
    <w:rsid w:val="00FC20BA"/>
    <w:rsid w:val="00FC6507"/>
    <w:rsid w:val="00FC6FC3"/>
    <w:rsid w:val="00FD1240"/>
    <w:rsid w:val="00FD134D"/>
    <w:rsid w:val="00FD54A8"/>
    <w:rsid w:val="00FE326E"/>
    <w:rsid w:val="00FF18C2"/>
    <w:rsid w:val="01086310"/>
    <w:rsid w:val="02EB1210"/>
    <w:rsid w:val="0A3212D7"/>
    <w:rsid w:val="0C3C6C7D"/>
    <w:rsid w:val="0DE216EC"/>
    <w:rsid w:val="14C85CEA"/>
    <w:rsid w:val="15B46A68"/>
    <w:rsid w:val="1B260FC3"/>
    <w:rsid w:val="24E44BDF"/>
    <w:rsid w:val="33EF2030"/>
    <w:rsid w:val="34961206"/>
    <w:rsid w:val="3C615D7D"/>
    <w:rsid w:val="3C6F0F1A"/>
    <w:rsid w:val="50FE2B61"/>
    <w:rsid w:val="55DA69F0"/>
    <w:rsid w:val="5B246837"/>
    <w:rsid w:val="5F795C8D"/>
    <w:rsid w:val="703B487D"/>
    <w:rsid w:val="71C709E1"/>
    <w:rsid w:val="74F70F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83" w:firstLineChars="200"/>
      <w:jc w:val="both"/>
    </w:pPr>
    <w:rPr>
      <w:rFonts w:ascii="Times New Roman" w:hAnsi="Times New Roman" w:eastAsia="仿宋_GB2312" w:cs="Times New Roman"/>
      <w:kern w:val="2"/>
      <w:sz w:val="30"/>
      <w:lang w:val="en-US" w:eastAsia="zh-CN" w:bidi="ar-SA"/>
    </w:rPr>
  </w:style>
  <w:style w:type="paragraph" w:styleId="3">
    <w:name w:val="heading 1"/>
    <w:basedOn w:val="1"/>
    <w:next w:val="1"/>
    <w:link w:val="64"/>
    <w:qFormat/>
    <w:uiPriority w:val="9"/>
    <w:pPr>
      <w:spacing w:line="360" w:lineRule="auto"/>
      <w:ind w:firstLine="880"/>
      <w:jc w:val="left"/>
      <w:outlineLvl w:val="0"/>
    </w:pPr>
    <w:rPr>
      <w:rFonts w:hint="eastAsia" w:ascii="宋体" w:hAnsi="宋体" w:eastAsia="黑体"/>
      <w:b/>
      <w:kern w:val="44"/>
      <w:szCs w:val="48"/>
    </w:rPr>
  </w:style>
  <w:style w:type="paragraph" w:styleId="4">
    <w:name w:val="heading 2"/>
    <w:basedOn w:val="1"/>
    <w:next w:val="1"/>
    <w:link w:val="32"/>
    <w:unhideWhenUsed/>
    <w:qFormat/>
    <w:uiPriority w:val="9"/>
    <w:pPr>
      <w:adjustRightInd w:val="0"/>
      <w:spacing w:line="360" w:lineRule="auto"/>
      <w:ind w:firstLine="640"/>
      <w:outlineLvl w:val="1"/>
    </w:pPr>
    <w:rPr>
      <w:b/>
      <w:szCs w:val="32"/>
      <w:shd w:val="clear" w:color="auto" w:fill="FFFFFF"/>
    </w:rPr>
  </w:style>
  <w:style w:type="paragraph" w:styleId="5">
    <w:name w:val="heading 3"/>
    <w:basedOn w:val="1"/>
    <w:next w:val="1"/>
    <w:link w:val="49"/>
    <w:unhideWhenUsed/>
    <w:qFormat/>
    <w:uiPriority w:val="0"/>
    <w:pPr>
      <w:keepNext/>
      <w:keepLines/>
      <w:spacing w:line="360" w:lineRule="auto"/>
      <w:outlineLvl w:val="2"/>
    </w:pPr>
    <w:rPr>
      <w:b/>
      <w:kern w:val="0"/>
      <w:sz w:val="32"/>
    </w:rPr>
  </w:style>
  <w:style w:type="paragraph" w:styleId="6">
    <w:name w:val="heading 4"/>
    <w:basedOn w:val="1"/>
    <w:next w:val="1"/>
    <w:link w:val="65"/>
    <w:unhideWhenUsed/>
    <w:qFormat/>
    <w:uiPriority w:val="0"/>
    <w:pPr>
      <w:keepNext/>
      <w:keepLines/>
      <w:spacing w:before="280" w:after="290" w:line="372" w:lineRule="auto"/>
      <w:outlineLvl w:val="3"/>
    </w:pPr>
    <w:rPr>
      <w:rFonts w:ascii="Arial" w:hAnsi="Arial" w:eastAsia="黑体"/>
      <w:b/>
      <w:sz w:val="28"/>
    </w:rPr>
  </w:style>
  <w:style w:type="paragraph" w:styleId="7">
    <w:name w:val="heading 9"/>
    <w:basedOn w:val="1"/>
    <w:next w:val="1"/>
    <w:link w:val="75"/>
    <w:semiHidden/>
    <w:unhideWhenUsed/>
    <w:qFormat/>
    <w:uiPriority w:val="9"/>
    <w:pPr>
      <w:keepNext/>
      <w:keepLines/>
      <w:widowControl/>
      <w:spacing w:before="240" w:after="64" w:line="320" w:lineRule="auto"/>
      <w:ind w:firstLine="0" w:firstLineChars="0"/>
      <w:jc w:val="left"/>
      <w:outlineLvl w:val="8"/>
    </w:pPr>
    <w:rPr>
      <w:rFonts w:asciiTheme="majorHAnsi" w:hAnsiTheme="majorHAnsi" w:eastAsiaTheme="majorEastAsia" w:cstheme="majorBidi"/>
      <w:kern w:val="0"/>
      <w:sz w:val="24"/>
      <w:szCs w:val="21"/>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Char"/>
    <w:basedOn w:val="1"/>
    <w:semiHidden/>
    <w:qFormat/>
    <w:uiPriority w:val="0"/>
    <w:rPr>
      <w:rFonts w:ascii="Calibri" w:hAnsi="Calibri" w:eastAsia="宋体" w:cs="Times New Roman"/>
      <w:szCs w:val="24"/>
    </w:rPr>
  </w:style>
  <w:style w:type="paragraph" w:styleId="8">
    <w:name w:val="Normal Indent"/>
    <w:basedOn w:val="1"/>
    <w:qFormat/>
    <w:uiPriority w:val="0"/>
    <w:pPr>
      <w:ind w:firstLine="420"/>
    </w:pPr>
    <w:rPr>
      <w:szCs w:val="22"/>
    </w:rPr>
  </w:style>
  <w:style w:type="paragraph" w:styleId="9">
    <w:name w:val="caption"/>
    <w:basedOn w:val="1"/>
    <w:next w:val="1"/>
    <w:unhideWhenUsed/>
    <w:qFormat/>
    <w:uiPriority w:val="0"/>
    <w:pPr>
      <w:spacing w:line="480" w:lineRule="auto"/>
      <w:outlineLvl w:val="6"/>
    </w:pPr>
    <w:rPr>
      <w:rFonts w:ascii="Calibri Light" w:hAnsi="Calibri Light"/>
      <w:sz w:val="20"/>
    </w:rPr>
  </w:style>
  <w:style w:type="paragraph" w:styleId="10">
    <w:name w:val="annotation text"/>
    <w:basedOn w:val="1"/>
    <w:link w:val="50"/>
    <w:qFormat/>
    <w:uiPriority w:val="0"/>
    <w:pPr>
      <w:jc w:val="left"/>
    </w:pPr>
  </w:style>
  <w:style w:type="paragraph" w:styleId="11">
    <w:name w:val="toc 3"/>
    <w:basedOn w:val="1"/>
    <w:next w:val="1"/>
    <w:qFormat/>
    <w:uiPriority w:val="0"/>
    <w:pPr>
      <w:ind w:left="840" w:leftChars="400"/>
    </w:pPr>
  </w:style>
  <w:style w:type="paragraph" w:styleId="12">
    <w:name w:val="endnote text"/>
    <w:basedOn w:val="1"/>
    <w:link w:val="61"/>
    <w:qFormat/>
    <w:uiPriority w:val="0"/>
    <w:pPr>
      <w:snapToGrid w:val="0"/>
      <w:jc w:val="left"/>
    </w:pPr>
  </w:style>
  <w:style w:type="paragraph" w:styleId="13">
    <w:name w:val="Balloon Text"/>
    <w:basedOn w:val="1"/>
    <w:link w:val="52"/>
    <w:qFormat/>
    <w:uiPriority w:val="0"/>
    <w:rPr>
      <w:sz w:val="18"/>
      <w:szCs w:val="18"/>
    </w:rPr>
  </w:style>
  <w:style w:type="paragraph" w:styleId="14">
    <w:name w:val="footer"/>
    <w:basedOn w:val="1"/>
    <w:link w:val="59"/>
    <w:qFormat/>
    <w:uiPriority w:val="99"/>
    <w:pPr>
      <w:tabs>
        <w:tab w:val="center" w:pos="4153"/>
        <w:tab w:val="right" w:pos="8306"/>
      </w:tabs>
      <w:snapToGrid w:val="0"/>
      <w:jc w:val="left"/>
    </w:pPr>
    <w:rPr>
      <w:sz w:val="18"/>
    </w:rPr>
  </w:style>
  <w:style w:type="paragraph" w:styleId="15">
    <w:name w:val="header"/>
    <w:basedOn w:val="1"/>
    <w:link w:val="5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rPr>
      <w:b/>
    </w:rPr>
  </w:style>
  <w:style w:type="paragraph" w:styleId="17">
    <w:name w:val="footnote text"/>
    <w:basedOn w:val="1"/>
    <w:link w:val="66"/>
    <w:qFormat/>
    <w:uiPriority w:val="0"/>
    <w:pPr>
      <w:snapToGrid w:val="0"/>
      <w:jc w:val="left"/>
    </w:pPr>
    <w:rPr>
      <w:sz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Autospacing="1" w:afterAutospacing="1"/>
      <w:jc w:val="left"/>
    </w:pPr>
    <w:rPr>
      <w:kern w:val="0"/>
      <w:sz w:val="24"/>
    </w:rPr>
  </w:style>
  <w:style w:type="paragraph" w:styleId="20">
    <w:name w:val="annotation subject"/>
    <w:basedOn w:val="10"/>
    <w:next w:val="10"/>
    <w:link w:val="51"/>
    <w:qFormat/>
    <w:uiPriority w:val="0"/>
    <w:rPr>
      <w:b/>
      <w:bCs/>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Emphasis"/>
    <w:basedOn w:val="23"/>
    <w:qFormat/>
    <w:uiPriority w:val="0"/>
    <w:rPr>
      <w:i/>
    </w:rPr>
  </w:style>
  <w:style w:type="character" w:styleId="26">
    <w:name w:val="Hyperlink"/>
    <w:basedOn w:val="23"/>
    <w:unhideWhenUsed/>
    <w:qFormat/>
    <w:uiPriority w:val="99"/>
    <w:rPr>
      <w:color w:val="0563C1" w:themeColor="hyperlink"/>
      <w:u w:val="single"/>
      <w14:textFill>
        <w14:solidFill>
          <w14:schemeClr w14:val="hlink"/>
        </w14:solidFill>
      </w14:textFill>
    </w:rPr>
  </w:style>
  <w:style w:type="character" w:styleId="27">
    <w:name w:val="annotation reference"/>
    <w:basedOn w:val="23"/>
    <w:qFormat/>
    <w:uiPriority w:val="0"/>
    <w:rPr>
      <w:sz w:val="21"/>
      <w:szCs w:val="21"/>
    </w:rPr>
  </w:style>
  <w:style w:type="character" w:styleId="28">
    <w:name w:val="footnote reference"/>
    <w:basedOn w:val="23"/>
    <w:qFormat/>
    <w:uiPriority w:val="0"/>
    <w:rPr>
      <w:vertAlign w:val="superscript"/>
    </w:rPr>
  </w:style>
  <w:style w:type="paragraph" w:customStyle="1" w:styleId="29">
    <w:name w:val="院1"/>
    <w:basedOn w:val="1"/>
    <w:qFormat/>
    <w:uiPriority w:val="0"/>
    <w:pPr>
      <w:outlineLvl w:val="0"/>
    </w:pPr>
    <w:rPr>
      <w:rFonts w:eastAsia="黑体"/>
    </w:rPr>
  </w:style>
  <w:style w:type="paragraph" w:customStyle="1" w:styleId="30">
    <w:name w:val="院2"/>
    <w:basedOn w:val="4"/>
    <w:next w:val="1"/>
    <w:qFormat/>
    <w:uiPriority w:val="0"/>
    <w:rPr>
      <w:rFonts w:eastAsia="楷体_GB2312"/>
      <w:sz w:val="32"/>
    </w:rPr>
  </w:style>
  <w:style w:type="paragraph" w:customStyle="1" w:styleId="31">
    <w:name w:val="院3"/>
    <w:next w:val="1"/>
    <w:qFormat/>
    <w:uiPriority w:val="0"/>
    <w:pPr>
      <w:spacing w:line="360" w:lineRule="auto"/>
      <w:ind w:firstLine="640" w:firstLineChars="200"/>
      <w:outlineLvl w:val="2"/>
    </w:pPr>
    <w:rPr>
      <w:rFonts w:ascii="Times New Roman" w:hAnsi="Times New Roman" w:eastAsia="仿宋_GB2312" w:cs="Times New Roman"/>
      <w:b/>
      <w:sz w:val="32"/>
      <w:lang w:val="en-US" w:eastAsia="zh-CN" w:bidi="ar-SA"/>
    </w:rPr>
  </w:style>
  <w:style w:type="character" w:customStyle="1" w:styleId="32">
    <w:name w:val="标题 2 字符"/>
    <w:link w:val="4"/>
    <w:qFormat/>
    <w:locked/>
    <w:uiPriority w:val="9"/>
    <w:rPr>
      <w:rFonts w:ascii="Times New Roman" w:hAnsi="Times New Roman" w:eastAsia="楷体_GB2312" w:cstheme="minorBidi"/>
      <w:b/>
      <w:kern w:val="2"/>
      <w:sz w:val="32"/>
      <w:szCs w:val="32"/>
    </w:rPr>
  </w:style>
  <w:style w:type="paragraph" w:customStyle="1" w:styleId="33">
    <w:name w:val="图表标题"/>
    <w:basedOn w:val="1"/>
    <w:link w:val="34"/>
    <w:qFormat/>
    <w:uiPriority w:val="0"/>
    <w:pPr>
      <w:pBdr>
        <w:top w:val="none" w:color="000000" w:sz="0" w:space="0"/>
        <w:left w:val="none" w:color="000000" w:sz="0" w:space="0"/>
        <w:bottom w:val="none" w:color="000000" w:sz="0" w:space="0"/>
        <w:right w:val="none" w:color="000000" w:sz="0" w:space="1"/>
      </w:pBdr>
      <w:shd w:val="solid" w:color="FFFFFF" w:fill="auto"/>
      <w:autoSpaceDN w:val="0"/>
      <w:spacing w:after="50" w:afterLines="50" w:line="600" w:lineRule="exact"/>
      <w:ind w:firstLine="0" w:firstLineChars="0"/>
      <w:jc w:val="center"/>
      <w:outlineLvl w:val="6"/>
    </w:pPr>
    <w:rPr>
      <w:rFonts w:eastAsia="黑体"/>
      <w:sz w:val="24"/>
      <w:szCs w:val="22"/>
      <w:shd w:val="clear" w:color="auto" w:fill="FFFFFF"/>
    </w:rPr>
  </w:style>
  <w:style w:type="character" w:customStyle="1" w:styleId="34">
    <w:name w:val="图表标题 字符"/>
    <w:link w:val="33"/>
    <w:qFormat/>
    <w:uiPriority w:val="0"/>
    <w:rPr>
      <w:rFonts w:ascii="Times New Roman" w:hAnsi="Times New Roman" w:eastAsia="黑体"/>
      <w:kern w:val="2"/>
      <w:sz w:val="24"/>
      <w:szCs w:val="22"/>
      <w:shd w:val="solid" w:color="FFFFFF" w:fill="auto"/>
    </w:rPr>
  </w:style>
  <w:style w:type="paragraph" w:customStyle="1" w:styleId="35">
    <w:name w:val="院表正文"/>
    <w:basedOn w:val="1"/>
    <w:link w:val="36"/>
    <w:qFormat/>
    <w:uiPriority w:val="0"/>
    <w:pPr>
      <w:ind w:firstLine="0" w:firstLineChars="0"/>
    </w:pPr>
    <w:rPr>
      <w:sz w:val="24"/>
    </w:rPr>
  </w:style>
  <w:style w:type="character" w:customStyle="1" w:styleId="36">
    <w:name w:val="院表正文 字符"/>
    <w:link w:val="35"/>
    <w:qFormat/>
    <w:uiPriority w:val="0"/>
    <w:rPr>
      <w:rFonts w:ascii="Times New Roman" w:hAnsi="Times New Roman" w:eastAsia="仿宋_GB2312"/>
      <w:kern w:val="2"/>
      <w:sz w:val="24"/>
      <w:szCs w:val="24"/>
    </w:rPr>
  </w:style>
  <w:style w:type="paragraph" w:customStyle="1" w:styleId="37">
    <w:name w:val="工信院4"/>
    <w:basedOn w:val="38"/>
    <w:qFormat/>
    <w:uiPriority w:val="0"/>
    <w:pPr>
      <w:ind w:firstLine="640"/>
      <w:outlineLvl w:val="3"/>
    </w:pPr>
  </w:style>
  <w:style w:type="paragraph" w:customStyle="1" w:styleId="38">
    <w:name w:val="工信院正文"/>
    <w:basedOn w:val="1"/>
    <w:link w:val="53"/>
    <w:qFormat/>
    <w:uiPriority w:val="0"/>
    <w:pPr>
      <w:spacing w:line="600" w:lineRule="exact"/>
      <w:ind w:firstLine="643"/>
    </w:pPr>
    <w:rPr>
      <w:sz w:val="32"/>
      <w:szCs w:val="32"/>
    </w:rPr>
  </w:style>
  <w:style w:type="character" w:customStyle="1" w:styleId="39">
    <w:name w:val="工信院4 字符"/>
    <w:link w:val="40"/>
    <w:qFormat/>
    <w:uiPriority w:val="0"/>
    <w:rPr>
      <w:rFonts w:ascii="Times New Roman" w:hAnsi="Times New Roman" w:eastAsia="楷体_GB2312"/>
      <w:b/>
      <w:szCs w:val="32"/>
    </w:rPr>
  </w:style>
  <w:style w:type="paragraph" w:customStyle="1" w:styleId="40">
    <w:name w:val="院4"/>
    <w:basedOn w:val="1"/>
    <w:link w:val="39"/>
    <w:qFormat/>
    <w:uiPriority w:val="0"/>
    <w:pPr>
      <w:ind w:firstLine="640"/>
      <w:outlineLvl w:val="3"/>
    </w:pPr>
    <w:rPr>
      <w:rFonts w:eastAsia="楷体_GB2312"/>
      <w:b/>
      <w:szCs w:val="32"/>
    </w:rPr>
  </w:style>
  <w:style w:type="paragraph" w:customStyle="1" w:styleId="41">
    <w:name w:val="高五级标题"/>
    <w:basedOn w:val="1"/>
    <w:qFormat/>
    <w:uiPriority w:val="0"/>
    <w:pPr>
      <w:spacing w:line="360" w:lineRule="auto"/>
      <w:outlineLvl w:val="4"/>
    </w:pPr>
    <w:rPr>
      <w:b/>
      <w:color w:val="000000"/>
      <w:szCs w:val="32"/>
    </w:rPr>
  </w:style>
  <w:style w:type="paragraph" w:customStyle="1" w:styleId="42">
    <w:name w:val="高四级标题"/>
    <w:basedOn w:val="1"/>
    <w:qFormat/>
    <w:uiPriority w:val="0"/>
    <w:pPr>
      <w:spacing w:line="600" w:lineRule="exact"/>
      <w:outlineLvl w:val="3"/>
    </w:pPr>
    <w:rPr>
      <w:b/>
      <w:color w:val="000000"/>
      <w:szCs w:val="32"/>
    </w:rPr>
  </w:style>
  <w:style w:type="paragraph" w:customStyle="1" w:styleId="43">
    <w:name w:val="图表"/>
    <w:basedOn w:val="1"/>
    <w:qFormat/>
    <w:uiPriority w:val="0"/>
    <w:pPr>
      <w:spacing w:before="50" w:beforeLines="50"/>
      <w:jc w:val="center"/>
      <w:outlineLvl w:val="6"/>
    </w:pPr>
    <w:rPr>
      <w:rFonts w:eastAsia="楷体_GB2312"/>
      <w:color w:val="000000"/>
      <w:sz w:val="28"/>
      <w:szCs w:val="32"/>
    </w:rPr>
  </w:style>
  <w:style w:type="paragraph" w:customStyle="1" w:styleId="44">
    <w:name w:val="高三级标题"/>
    <w:basedOn w:val="1"/>
    <w:qFormat/>
    <w:uiPriority w:val="0"/>
    <w:pPr>
      <w:spacing w:line="600" w:lineRule="exact"/>
      <w:ind w:firstLine="880"/>
      <w:outlineLvl w:val="2"/>
    </w:pPr>
    <w:rPr>
      <w:b/>
      <w:bCs/>
      <w:color w:val="000000"/>
      <w:szCs w:val="32"/>
    </w:rPr>
  </w:style>
  <w:style w:type="paragraph" w:customStyle="1" w:styleId="45">
    <w:name w:val="工商1"/>
    <w:basedOn w:val="1"/>
    <w:next w:val="1"/>
    <w:qFormat/>
    <w:uiPriority w:val="0"/>
    <w:pPr>
      <w:outlineLvl w:val="0"/>
    </w:pPr>
    <w:rPr>
      <w:rFonts w:eastAsia="黑体" w:cs="Arial"/>
      <w:color w:val="000000" w:themeColor="text1"/>
      <w:kern w:val="0"/>
      <w:sz w:val="32"/>
      <w:szCs w:val="21"/>
      <w14:textFill>
        <w14:solidFill>
          <w14:schemeClr w14:val="tx1"/>
        </w14:solidFill>
      </w14:textFill>
    </w:rPr>
  </w:style>
  <w:style w:type="paragraph" w:customStyle="1" w:styleId="46">
    <w:name w:val="工商2"/>
    <w:basedOn w:val="4"/>
    <w:next w:val="1"/>
    <w:qFormat/>
    <w:uiPriority w:val="0"/>
    <w:rPr>
      <w:rFonts w:eastAsia="楷体_GB2312"/>
      <w:color w:val="000000" w:themeColor="text1"/>
      <w:sz w:val="32"/>
      <w14:textFill>
        <w14:solidFill>
          <w14:schemeClr w14:val="tx1"/>
        </w14:solidFill>
      </w14:textFill>
    </w:rPr>
  </w:style>
  <w:style w:type="paragraph" w:customStyle="1" w:styleId="47">
    <w:name w:val="工商3"/>
    <w:next w:val="1"/>
    <w:qFormat/>
    <w:uiPriority w:val="0"/>
    <w:pPr>
      <w:spacing w:line="360" w:lineRule="auto"/>
      <w:ind w:firstLine="640" w:firstLineChars="200"/>
      <w:outlineLvl w:val="2"/>
    </w:pPr>
    <w:rPr>
      <w:rFonts w:ascii="Times New Roman" w:hAnsi="Times New Roman" w:eastAsia="仿宋_GB2312" w:cs="Times New Roman"/>
      <w:b/>
      <w:sz w:val="32"/>
      <w:lang w:val="en-US" w:eastAsia="zh-CN" w:bidi="ar-SA"/>
    </w:rPr>
  </w:style>
  <w:style w:type="paragraph" w:customStyle="1" w:styleId="48">
    <w:name w:val="工商5"/>
    <w:basedOn w:val="1"/>
    <w:qFormat/>
    <w:uiPriority w:val="0"/>
    <w:pPr>
      <w:spacing w:line="360" w:lineRule="auto"/>
      <w:outlineLvl w:val="4"/>
    </w:pPr>
    <w:rPr>
      <w:b/>
      <w:color w:val="000000"/>
      <w:szCs w:val="32"/>
    </w:rPr>
  </w:style>
  <w:style w:type="character" w:customStyle="1" w:styleId="49">
    <w:name w:val="标题 3 字符"/>
    <w:link w:val="5"/>
    <w:qFormat/>
    <w:uiPriority w:val="0"/>
    <w:rPr>
      <w:rFonts w:eastAsia="仿宋_GB2312"/>
      <w:b/>
      <w:sz w:val="32"/>
    </w:rPr>
  </w:style>
  <w:style w:type="character" w:customStyle="1" w:styleId="50">
    <w:name w:val="批注文字 字符"/>
    <w:basedOn w:val="23"/>
    <w:link w:val="10"/>
    <w:qFormat/>
    <w:uiPriority w:val="0"/>
    <w:rPr>
      <w:rFonts w:eastAsia="仿宋_GB2312"/>
      <w:kern w:val="2"/>
      <w:sz w:val="30"/>
    </w:rPr>
  </w:style>
  <w:style w:type="character" w:customStyle="1" w:styleId="51">
    <w:name w:val="批注主题 字符"/>
    <w:basedOn w:val="50"/>
    <w:link w:val="20"/>
    <w:qFormat/>
    <w:uiPriority w:val="0"/>
    <w:rPr>
      <w:rFonts w:eastAsia="仿宋_GB2312"/>
      <w:b/>
      <w:bCs/>
      <w:kern w:val="2"/>
      <w:sz w:val="30"/>
    </w:rPr>
  </w:style>
  <w:style w:type="character" w:customStyle="1" w:styleId="52">
    <w:name w:val="批注框文本 字符"/>
    <w:basedOn w:val="23"/>
    <w:link w:val="13"/>
    <w:qFormat/>
    <w:uiPriority w:val="0"/>
    <w:rPr>
      <w:rFonts w:eastAsia="仿宋_GB2312"/>
      <w:kern w:val="2"/>
      <w:sz w:val="18"/>
      <w:szCs w:val="18"/>
    </w:rPr>
  </w:style>
  <w:style w:type="character" w:customStyle="1" w:styleId="53">
    <w:name w:val="工信院正文 字符"/>
    <w:link w:val="38"/>
    <w:qFormat/>
    <w:uiPriority w:val="0"/>
    <w:rPr>
      <w:rFonts w:eastAsia="仿宋_GB2312"/>
      <w:kern w:val="2"/>
      <w:sz w:val="32"/>
      <w:szCs w:val="32"/>
    </w:rPr>
  </w:style>
  <w:style w:type="paragraph" w:styleId="54">
    <w:name w:val="List Paragraph"/>
    <w:basedOn w:val="1"/>
    <w:qFormat/>
    <w:uiPriority w:val="99"/>
    <w:pPr>
      <w:ind w:firstLine="420"/>
    </w:pPr>
  </w:style>
  <w:style w:type="paragraph" w:customStyle="1" w:styleId="55">
    <w:name w:val="Normal Indent1"/>
    <w:basedOn w:val="1"/>
    <w:qFormat/>
    <w:uiPriority w:val="0"/>
    <w:pPr>
      <w:spacing w:line="480" w:lineRule="auto"/>
      <w:ind w:firstLine="420"/>
    </w:pPr>
    <w:rPr>
      <w:rFonts w:eastAsia="宋体"/>
      <w:sz w:val="21"/>
      <w:szCs w:val="21"/>
    </w:rPr>
  </w:style>
  <w:style w:type="paragraph" w:customStyle="1" w:styleId="56">
    <w:name w:val="工经所正文"/>
    <w:basedOn w:val="1"/>
    <w:qFormat/>
    <w:uiPriority w:val="0"/>
    <w:pPr>
      <w:spacing w:line="640" w:lineRule="exact"/>
      <w:ind w:firstLine="640"/>
    </w:pPr>
    <w:rPr>
      <w:sz w:val="32"/>
      <w:szCs w:val="32"/>
    </w:rPr>
  </w:style>
  <w:style w:type="character" w:customStyle="1" w:styleId="57">
    <w:name w:val="15"/>
    <w:qFormat/>
    <w:uiPriority w:val="99"/>
    <w:rPr>
      <w:rFonts w:ascii="Times New Roman" w:hAnsi="Times New Roman"/>
      <w:i/>
    </w:rPr>
  </w:style>
  <w:style w:type="character" w:customStyle="1" w:styleId="58">
    <w:name w:val="页眉 字符"/>
    <w:basedOn w:val="23"/>
    <w:link w:val="15"/>
    <w:qFormat/>
    <w:uiPriority w:val="99"/>
    <w:rPr>
      <w:rFonts w:eastAsia="仿宋_GB2312"/>
      <w:kern w:val="2"/>
      <w:sz w:val="18"/>
    </w:rPr>
  </w:style>
  <w:style w:type="character" w:customStyle="1" w:styleId="59">
    <w:name w:val="页脚 字符"/>
    <w:basedOn w:val="23"/>
    <w:link w:val="14"/>
    <w:qFormat/>
    <w:uiPriority w:val="99"/>
    <w:rPr>
      <w:rFonts w:eastAsia="仿宋_GB2312"/>
      <w:kern w:val="2"/>
      <w:sz w:val="18"/>
    </w:rPr>
  </w:style>
  <w:style w:type="paragraph" w:customStyle="1" w:styleId="60">
    <w:name w:val="普通(网站)1"/>
    <w:basedOn w:val="1"/>
    <w:qFormat/>
    <w:uiPriority w:val="0"/>
    <w:pPr>
      <w:suppressAutoHyphens/>
      <w:spacing w:before="100" w:after="100"/>
      <w:ind w:firstLine="420" w:firstLineChars="0"/>
    </w:pPr>
    <w:rPr>
      <w:rFonts w:ascii="宋体" w:hAnsi="宋体" w:eastAsia="宋体" w:cs="宋体"/>
      <w:color w:val="000000"/>
      <w:kern w:val="1"/>
      <w:sz w:val="20"/>
    </w:rPr>
  </w:style>
  <w:style w:type="character" w:customStyle="1" w:styleId="61">
    <w:name w:val="尾注文本 字符"/>
    <w:basedOn w:val="23"/>
    <w:link w:val="12"/>
    <w:qFormat/>
    <w:uiPriority w:val="0"/>
    <w:rPr>
      <w:rFonts w:eastAsia="仿宋_GB2312"/>
      <w:kern w:val="2"/>
      <w:sz w:val="30"/>
    </w:rPr>
  </w:style>
  <w:style w:type="paragraph" w:customStyle="1" w:styleId="62">
    <w:name w:val="Body Text Indent 21"/>
    <w:basedOn w:val="1"/>
    <w:qFormat/>
    <w:uiPriority w:val="0"/>
    <w:pPr>
      <w:spacing w:line="480" w:lineRule="auto"/>
      <w:ind w:left="200" w:leftChars="200"/>
    </w:pPr>
  </w:style>
  <w:style w:type="paragraph" w:customStyle="1" w:styleId="63">
    <w:name w:val="Lingel"/>
    <w:basedOn w:val="4"/>
    <w:qFormat/>
    <w:uiPriority w:val="0"/>
    <w:pPr>
      <w:keepNext/>
      <w:keepLines/>
      <w:adjustRightInd/>
      <w:spacing w:before="40" w:line="240" w:lineRule="auto"/>
      <w:ind w:firstLine="883"/>
    </w:pPr>
    <w:rPr>
      <w:rFonts w:ascii="等线 Light" w:hAnsi="等线 Light" w:eastAsia="楷体_GB2312"/>
      <w:color w:val="000000"/>
      <w:kern w:val="0"/>
      <w:szCs w:val="28"/>
      <w:shd w:val="clear" w:color="auto" w:fill="auto"/>
    </w:rPr>
  </w:style>
  <w:style w:type="character" w:customStyle="1" w:styleId="64">
    <w:name w:val="标题 1 字符"/>
    <w:basedOn w:val="23"/>
    <w:link w:val="3"/>
    <w:qFormat/>
    <w:uiPriority w:val="9"/>
    <w:rPr>
      <w:rFonts w:ascii="宋体" w:hAnsi="宋体" w:eastAsia="黑体"/>
      <w:b/>
      <w:kern w:val="44"/>
      <w:sz w:val="30"/>
      <w:szCs w:val="48"/>
    </w:rPr>
  </w:style>
  <w:style w:type="character" w:customStyle="1" w:styleId="65">
    <w:name w:val="标题 4 字符"/>
    <w:basedOn w:val="23"/>
    <w:link w:val="6"/>
    <w:qFormat/>
    <w:uiPriority w:val="0"/>
    <w:rPr>
      <w:rFonts w:ascii="Arial" w:hAnsi="Arial" w:eastAsia="黑体"/>
      <w:b/>
      <w:kern w:val="2"/>
      <w:sz w:val="28"/>
    </w:rPr>
  </w:style>
  <w:style w:type="character" w:customStyle="1" w:styleId="66">
    <w:name w:val="脚注文本 字符"/>
    <w:basedOn w:val="23"/>
    <w:link w:val="17"/>
    <w:qFormat/>
    <w:uiPriority w:val="0"/>
    <w:rPr>
      <w:rFonts w:eastAsia="仿宋_GB2312"/>
      <w:kern w:val="2"/>
      <w:sz w:val="18"/>
    </w:rPr>
  </w:style>
  <w:style w:type="character" w:customStyle="1" w:styleId="67">
    <w:name w:val="content"/>
    <w:basedOn w:val="23"/>
    <w:qFormat/>
    <w:uiPriority w:val="0"/>
  </w:style>
  <w:style w:type="character" w:customStyle="1" w:styleId="68">
    <w:name w:val="NormalCharacter"/>
    <w:semiHidden/>
    <w:qFormat/>
    <w:uiPriority w:val="0"/>
    <w:rPr>
      <w:rFonts w:ascii="Calibri" w:hAnsi="Calibri" w:eastAsia="宋体"/>
      <w:kern w:val="2"/>
      <w:sz w:val="24"/>
      <w:lang w:val="en-US" w:eastAsia="zh-CN"/>
    </w:rPr>
  </w:style>
  <w:style w:type="character" w:customStyle="1" w:styleId="69">
    <w:name w:val="所正文新 Char"/>
    <w:link w:val="70"/>
    <w:qFormat/>
    <w:locked/>
    <w:uiPriority w:val="99"/>
    <w:rPr>
      <w:rFonts w:ascii="仿宋_GB2312" w:hAnsi="仿宋" w:eastAsia="仿宋_GB2312"/>
      <w:sz w:val="30"/>
    </w:rPr>
  </w:style>
  <w:style w:type="paragraph" w:customStyle="1" w:styleId="70">
    <w:name w:val="所正文新"/>
    <w:basedOn w:val="1"/>
    <w:link w:val="69"/>
    <w:qFormat/>
    <w:uiPriority w:val="99"/>
    <w:pPr>
      <w:topLinePunct/>
      <w:spacing w:line="560" w:lineRule="exact"/>
      <w:ind w:firstLine="600"/>
    </w:pPr>
    <w:rPr>
      <w:rFonts w:ascii="仿宋_GB2312" w:hAnsi="仿宋"/>
      <w:kern w:val="0"/>
    </w:rPr>
  </w:style>
  <w:style w:type="character" w:customStyle="1" w:styleId="71">
    <w:name w:val="工经所4新 Char"/>
    <w:link w:val="72"/>
    <w:qFormat/>
    <w:locked/>
    <w:uiPriority w:val="99"/>
    <w:rPr>
      <w:rFonts w:eastAsia="仿宋_GB2312"/>
      <w:b/>
      <w:sz w:val="30"/>
    </w:rPr>
  </w:style>
  <w:style w:type="paragraph" w:customStyle="1" w:styleId="72">
    <w:name w:val="工经所4新"/>
    <w:basedOn w:val="1"/>
    <w:link w:val="71"/>
    <w:qFormat/>
    <w:uiPriority w:val="99"/>
    <w:pPr>
      <w:autoSpaceDE w:val="0"/>
      <w:autoSpaceDN w:val="0"/>
      <w:adjustRightInd w:val="0"/>
      <w:spacing w:line="600" w:lineRule="exact"/>
      <w:ind w:firstLine="602"/>
      <w:outlineLvl w:val="3"/>
    </w:pPr>
    <w:rPr>
      <w:b/>
      <w:kern w:val="0"/>
    </w:rPr>
  </w:style>
  <w:style w:type="paragraph" w:customStyle="1" w:styleId="73">
    <w:name w:val="所正文"/>
    <w:basedOn w:val="1"/>
    <w:link w:val="74"/>
    <w:qFormat/>
    <w:uiPriority w:val="0"/>
    <w:pPr>
      <w:spacing w:line="480" w:lineRule="auto"/>
      <w:ind w:firstLine="643" w:firstLineChars="0"/>
    </w:pPr>
    <w:rPr>
      <w:sz w:val="32"/>
      <w:szCs w:val="32"/>
    </w:rPr>
  </w:style>
  <w:style w:type="character" w:customStyle="1" w:styleId="74">
    <w:name w:val="所正文 Char"/>
    <w:link w:val="73"/>
    <w:qFormat/>
    <w:locked/>
    <w:uiPriority w:val="0"/>
    <w:rPr>
      <w:rFonts w:eastAsia="仿宋_GB2312"/>
      <w:kern w:val="2"/>
      <w:sz w:val="32"/>
      <w:szCs w:val="32"/>
    </w:rPr>
  </w:style>
  <w:style w:type="character" w:customStyle="1" w:styleId="75">
    <w:name w:val="标题 9 字符"/>
    <w:basedOn w:val="23"/>
    <w:link w:val="7"/>
    <w:semiHidden/>
    <w:qFormat/>
    <w:uiPriority w:val="9"/>
    <w:rPr>
      <w:rFonts w:asciiTheme="majorHAnsi" w:hAnsiTheme="majorHAnsi" w:eastAsiaTheme="majorEastAsia" w:cstheme="majorBidi"/>
      <w:sz w:val="24"/>
      <w:szCs w:val="21"/>
    </w:rPr>
  </w:style>
  <w:style w:type="paragraph" w:customStyle="1" w:styleId="76">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1AF96-7A40-42DF-B7A9-AF803E8FF218}">
  <ds:schemaRefs/>
</ds:datastoreItem>
</file>

<file path=docProps/app.xml><?xml version="1.0" encoding="utf-8"?>
<Properties xmlns="http://schemas.openxmlformats.org/officeDocument/2006/extended-properties" xmlns:vt="http://schemas.openxmlformats.org/officeDocument/2006/docPropsVTypes">
  <Template>Normal.dotm</Template>
  <Pages>65</Pages>
  <Words>5341</Words>
  <Characters>30449</Characters>
  <Lines>253</Lines>
  <Paragraphs>71</Paragraphs>
  <TotalTime>201</TotalTime>
  <ScaleCrop>false</ScaleCrop>
  <LinksUpToDate>false</LinksUpToDate>
  <CharactersWithSpaces>35719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2021-04-21T04:48:00Z</dcterms:created>
  <dc:creator>于晓飞;车玲洁</dc:creator>
  <cp:lastModifiedBy>Administrator</cp:lastModifiedBy>
  <cp:lastPrinted>2021-03-18T13:11:00Z</cp:lastPrinted>
  <dcterms:modified xsi:type="dcterms:W3CDTF">2022-06-01T03:04:38Z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9C619141236B485C9977BBA2AD59440D</vt:lpwstr>
  </property>
</Properties>
</file>