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eastAsia="小标宋"/>
          <w:sz w:val="44"/>
        </w:rPr>
      </w:pPr>
      <w:r>
        <w:rPr>
          <w:rFonts w:hint="eastAsia" w:ascii="小标宋" w:eastAsia="小标宋"/>
          <w:sz w:val="44"/>
        </w:rPr>
        <w:t>青田县征收农村集体土地补偿安置标准</w:t>
      </w:r>
    </w:p>
    <w:p>
      <w:pPr>
        <w:spacing w:line="560" w:lineRule="exact"/>
        <w:jc w:val="center"/>
        <w:rPr>
          <w:rFonts w:ascii="小标宋" w:eastAsia="小标宋"/>
          <w:sz w:val="44"/>
        </w:rPr>
      </w:pPr>
      <w:r>
        <w:rPr>
          <w:rFonts w:hint="eastAsia" w:ascii="小标宋" w:eastAsia="小标宋"/>
          <w:sz w:val="44"/>
        </w:rPr>
        <w:t>管理办法（试行）</w:t>
      </w:r>
    </w:p>
    <w:p>
      <w:pPr>
        <w:spacing w:line="560" w:lineRule="exact"/>
        <w:jc w:val="center"/>
        <w:rPr>
          <w:rFonts w:hint="eastAsia" w:ascii="仿宋_GB2312" w:eastAsia="仿宋_GB2312"/>
          <w:b/>
          <w:sz w:val="32"/>
          <w:szCs w:val="32"/>
        </w:rPr>
      </w:pPr>
      <w:bookmarkStart w:id="0" w:name="_GoBack"/>
      <w:bookmarkEnd w:id="0"/>
    </w:p>
    <w:p>
      <w:pPr>
        <w:spacing w:line="560" w:lineRule="exact"/>
        <w:jc w:val="center"/>
        <w:rPr>
          <w:rFonts w:ascii="仿宋_GB2312" w:eastAsia="仿宋_GB2312"/>
          <w:b/>
          <w:sz w:val="32"/>
          <w:szCs w:val="32"/>
        </w:rPr>
      </w:pPr>
      <w:r>
        <w:rPr>
          <w:rFonts w:hint="eastAsia" w:ascii="仿宋_GB2312" w:eastAsia="仿宋_GB2312"/>
          <w:b/>
          <w:sz w:val="32"/>
          <w:szCs w:val="32"/>
        </w:rPr>
        <w:t>第一章 总则</w:t>
      </w:r>
    </w:p>
    <w:p>
      <w:pPr>
        <w:spacing w:line="560" w:lineRule="exact"/>
        <w:ind w:firstLine="63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w:t>
      </w:r>
      <w:r>
        <w:rPr>
          <w:rFonts w:ascii="仿宋_GB2312" w:eastAsia="仿宋_GB2312"/>
          <w:sz w:val="32"/>
          <w:szCs w:val="32"/>
        </w:rPr>
        <w:t>为进一步加强征地服务和管理，切实维护被征地农民的合法权益，促进经济社会高质量发展，</w:t>
      </w:r>
      <w:r>
        <w:rPr>
          <w:rFonts w:hint="eastAsia" w:ascii="仿宋_GB2312" w:eastAsia="仿宋_GB2312"/>
          <w:sz w:val="32"/>
          <w:szCs w:val="32"/>
        </w:rPr>
        <w:t>根据《中华人民共和国土地管理法》等法律法规的规定及</w:t>
      </w:r>
      <w:r>
        <w:rPr>
          <w:rFonts w:hint="eastAsia" w:ascii="仿宋_GB2312" w:eastAsia="仿宋_GB2312"/>
          <w:color w:val="auto"/>
          <w:sz w:val="32"/>
          <w:szCs w:val="32"/>
        </w:rPr>
        <w:t>《</w:t>
      </w:r>
      <w:r>
        <w:rPr>
          <w:rFonts w:ascii="仿宋_GB2312" w:eastAsia="仿宋_GB2312"/>
          <w:color w:val="auto"/>
          <w:sz w:val="32"/>
          <w:szCs w:val="32"/>
        </w:rPr>
        <w:t>浙江省人民政府关于调整全省征地区片综合地价最低保护标准的通知</w:t>
      </w:r>
      <w:r>
        <w:rPr>
          <w:rFonts w:hint="eastAsia" w:ascii="仿宋_GB2312" w:eastAsia="仿宋_GB2312"/>
          <w:color w:val="auto"/>
          <w:sz w:val="32"/>
          <w:szCs w:val="32"/>
        </w:rPr>
        <w:t>》（浙政发〔2020〕8号）、</w:t>
      </w:r>
      <w:r>
        <w:rPr>
          <w:rFonts w:ascii="仿宋_GB2312" w:eastAsia="仿宋_GB2312"/>
          <w:sz w:val="32"/>
          <w:szCs w:val="32"/>
        </w:rPr>
        <w:t>《</w:t>
      </w:r>
      <w:r>
        <w:rPr>
          <w:rFonts w:hint="eastAsia" w:ascii="仿宋_GB2312" w:eastAsia="仿宋_GB2312"/>
          <w:sz w:val="32"/>
          <w:szCs w:val="32"/>
        </w:rPr>
        <w:t>浙江省</w:t>
      </w:r>
      <w:r>
        <w:rPr>
          <w:rFonts w:ascii="仿宋_GB2312" w:eastAsia="仿宋_GB2312"/>
          <w:sz w:val="32"/>
          <w:szCs w:val="32"/>
        </w:rPr>
        <w:t>自然资源厅关于加快制定</w:t>
      </w:r>
      <w:r>
        <w:rPr>
          <w:rFonts w:hint="eastAsia" w:ascii="仿宋_GB2312" w:eastAsia="仿宋_GB2312"/>
          <w:sz w:val="32"/>
          <w:szCs w:val="32"/>
        </w:rPr>
        <w:t>完善地上附着物和青苗补偿标准的</w:t>
      </w:r>
      <w:r>
        <w:rPr>
          <w:rFonts w:ascii="仿宋_GB2312" w:eastAsia="仿宋_GB2312"/>
          <w:sz w:val="32"/>
          <w:szCs w:val="32"/>
        </w:rPr>
        <w:t>通知》（</w:t>
      </w:r>
      <w:r>
        <w:rPr>
          <w:rFonts w:hint="eastAsia" w:ascii="仿宋_GB2312" w:eastAsia="仿宋_GB2312"/>
          <w:sz w:val="32"/>
          <w:szCs w:val="32"/>
        </w:rPr>
        <w:t>浙</w:t>
      </w:r>
      <w:r>
        <w:rPr>
          <w:rFonts w:ascii="仿宋_GB2312" w:eastAsia="仿宋_GB2312"/>
          <w:sz w:val="32"/>
          <w:szCs w:val="32"/>
        </w:rPr>
        <w:t>自然资</w:t>
      </w:r>
      <w:r>
        <w:rPr>
          <w:rFonts w:hint="eastAsia" w:ascii="仿宋_GB2312" w:eastAsia="仿宋_GB2312"/>
          <w:sz w:val="32"/>
          <w:szCs w:val="32"/>
        </w:rPr>
        <w:t>厅函</w:t>
      </w:r>
      <w:r>
        <w:rPr>
          <w:rFonts w:ascii="仿宋_GB2312" w:eastAsia="仿宋_GB2312"/>
          <w:sz w:val="32"/>
          <w:szCs w:val="32"/>
        </w:rPr>
        <w:t>〔</w:t>
      </w:r>
      <w:r>
        <w:rPr>
          <w:rFonts w:hint="eastAsia" w:ascii="仿宋_GB2312" w:eastAsia="仿宋_GB2312"/>
          <w:sz w:val="32"/>
          <w:szCs w:val="32"/>
        </w:rPr>
        <w:t>2020</w:t>
      </w:r>
      <w:r>
        <w:rPr>
          <w:rFonts w:ascii="仿宋_GB2312" w:eastAsia="仿宋_GB2312"/>
          <w:sz w:val="32"/>
          <w:szCs w:val="32"/>
        </w:rPr>
        <w:t>〕</w:t>
      </w:r>
      <w:r>
        <w:rPr>
          <w:rFonts w:hint="eastAsia" w:ascii="仿宋_GB2312" w:eastAsia="仿宋_GB2312"/>
          <w:sz w:val="32"/>
          <w:szCs w:val="32"/>
        </w:rPr>
        <w:t>265</w:t>
      </w:r>
      <w:r>
        <w:rPr>
          <w:rFonts w:ascii="仿宋_GB2312" w:eastAsia="仿宋_GB2312"/>
          <w:sz w:val="32"/>
          <w:szCs w:val="32"/>
        </w:rPr>
        <w:t>号）</w:t>
      </w:r>
      <w:r>
        <w:rPr>
          <w:rFonts w:hint="eastAsia" w:ascii="仿宋_GB2312" w:eastAsia="仿宋_GB2312"/>
          <w:sz w:val="32"/>
          <w:szCs w:val="32"/>
        </w:rPr>
        <w:t>等文件精神，结合本县实际，制定本办法。</w:t>
      </w:r>
    </w:p>
    <w:p>
      <w:pPr>
        <w:spacing w:line="560" w:lineRule="exact"/>
        <w:ind w:firstLine="63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本县范围内征收农村集体土地适用本办法。</w:t>
      </w:r>
    </w:p>
    <w:p>
      <w:pPr>
        <w:spacing w:line="560" w:lineRule="exact"/>
        <w:ind w:firstLine="63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征收农村集体土地的补偿安置费用由土地补偿费、安置补助费、青苗补偿费和地上附着物补偿费组成。</w:t>
      </w:r>
    </w:p>
    <w:p>
      <w:pPr>
        <w:spacing w:line="560" w:lineRule="exact"/>
        <w:ind w:firstLine="63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四</w:t>
      </w:r>
      <w:r>
        <w:rPr>
          <w:rFonts w:hint="eastAsia" w:ascii="仿宋_GB2312" w:eastAsia="仿宋_GB2312"/>
          <w:b/>
          <w:sz w:val="32"/>
          <w:szCs w:val="32"/>
        </w:rPr>
        <w:t>条</w:t>
      </w:r>
      <w:r>
        <w:rPr>
          <w:rFonts w:hint="eastAsia" w:ascii="仿宋_GB2312" w:eastAsia="仿宋_GB2312"/>
          <w:sz w:val="32"/>
          <w:szCs w:val="32"/>
        </w:rPr>
        <w:t xml:space="preserve">  征收土地方案经依法批准后，由县人民政府组织实施。</w:t>
      </w:r>
      <w:r>
        <w:rPr>
          <w:rFonts w:hint="eastAsia" w:ascii="仿宋_GB2312" w:eastAsia="仿宋_GB2312"/>
          <w:bCs/>
          <w:sz w:val="32"/>
          <w:szCs w:val="32"/>
        </w:rPr>
        <w:t>县土地和房屋征收单位负责全县集体</w:t>
      </w:r>
      <w:r>
        <w:rPr>
          <w:rFonts w:hint="eastAsia" w:ascii="仿宋_GB2312" w:eastAsia="仿宋_GB2312"/>
          <w:sz w:val="32"/>
          <w:szCs w:val="32"/>
        </w:rPr>
        <w:t>土地</w:t>
      </w:r>
      <w:r>
        <w:rPr>
          <w:rFonts w:hint="eastAsia" w:ascii="仿宋_GB2312" w:eastAsia="仿宋_GB2312"/>
          <w:bCs/>
          <w:sz w:val="32"/>
          <w:szCs w:val="32"/>
        </w:rPr>
        <w:t>征收组织实施的</w:t>
      </w:r>
      <w:r>
        <w:rPr>
          <w:rFonts w:hint="eastAsia" w:ascii="仿宋_GB2312" w:eastAsia="仿宋_GB2312"/>
          <w:sz w:val="32"/>
          <w:szCs w:val="32"/>
        </w:rPr>
        <w:t>事务工作；县财政部门负责征地补偿安置资金和被征地农民基本生活保障资金收支的管理和监督工作；县人力社保部门负责被征地农民社会保障和促进就业的管理和监督工作；县自然资源部门负责集体土地征收选址、审查、范围划定、提供征收地类调查成果、报批和征收后储备、利用等工作</w:t>
      </w:r>
      <w:r>
        <w:rPr>
          <w:rFonts w:hint="eastAsia" w:ascii="仿宋_GB2312" w:eastAsia="仿宋_GB2312"/>
          <w:sz w:val="32"/>
          <w:szCs w:val="32"/>
          <w:lang w:eastAsia="zh-CN"/>
        </w:rPr>
        <w:t>；</w:t>
      </w:r>
      <w:r>
        <w:rPr>
          <w:rFonts w:hint="eastAsia" w:ascii="仿宋_GB2312" w:eastAsia="仿宋_GB2312"/>
          <w:sz w:val="32"/>
          <w:szCs w:val="32"/>
        </w:rPr>
        <w:t>县农业部门负责征地补偿安置费的分配、使用的指导和监督工作；其它相关部门按照各自职责做好相关工作。</w:t>
      </w:r>
    </w:p>
    <w:p>
      <w:pPr>
        <w:spacing w:line="560" w:lineRule="exact"/>
        <w:ind w:firstLine="720"/>
        <w:rPr>
          <w:rFonts w:ascii="仿宋_GB2312" w:eastAsia="仿宋_GB2312"/>
          <w:sz w:val="32"/>
          <w:szCs w:val="32"/>
        </w:rPr>
      </w:pPr>
      <w:r>
        <w:rPr>
          <w:rFonts w:hint="eastAsia" w:ascii="仿宋_GB2312" w:eastAsia="仿宋_GB2312"/>
          <w:sz w:val="32"/>
          <w:szCs w:val="32"/>
        </w:rPr>
        <w:t>各乡镇（街道）负责实施本辖区内农村集体土地的征收工作。</w:t>
      </w:r>
    </w:p>
    <w:p>
      <w:pPr>
        <w:spacing w:line="560" w:lineRule="exact"/>
        <w:ind w:firstLine="63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sz w:val="32"/>
          <w:szCs w:val="32"/>
        </w:rPr>
        <w:t xml:space="preserve">  勘测定界和征地测量由乡镇（街道）委托中介实施，征地测量采用仪器测量到户。勘测定界和征地测量的指界工作由乡镇（街道）组织实施。勘测定界和征地测量费用列入项目征地成本。</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sz w:val="32"/>
          <w:szCs w:val="32"/>
        </w:rPr>
        <w:t xml:space="preserve">  实际补偿地类原则上以</w:t>
      </w:r>
      <w:r>
        <w:rPr>
          <w:rFonts w:hint="eastAsia" w:ascii="仿宋_GB2312" w:eastAsia="仿宋_GB2312"/>
          <w:sz w:val="32"/>
          <w:szCs w:val="32"/>
          <w:lang w:eastAsia="zh-CN"/>
        </w:rPr>
        <w:t>最新土地利用现状</w:t>
      </w:r>
      <w:r>
        <w:rPr>
          <w:rFonts w:hint="eastAsia" w:ascii="仿宋_GB2312" w:eastAsia="仿宋_GB2312"/>
          <w:sz w:val="32"/>
          <w:szCs w:val="32"/>
        </w:rPr>
        <w:t>为准。经乡镇（街道）认定实际地类确实与</w:t>
      </w:r>
      <w:r>
        <w:rPr>
          <w:rFonts w:hint="eastAsia" w:ascii="仿宋_GB2312" w:eastAsia="仿宋_GB2312"/>
          <w:sz w:val="32"/>
          <w:szCs w:val="32"/>
          <w:lang w:eastAsia="zh-CN"/>
        </w:rPr>
        <w:t>最新土地利用现状</w:t>
      </w:r>
      <w:r>
        <w:rPr>
          <w:rFonts w:hint="eastAsia" w:ascii="仿宋_GB2312" w:eastAsia="仿宋_GB2312"/>
          <w:sz w:val="32"/>
          <w:szCs w:val="32"/>
        </w:rPr>
        <w:t>不一致的，以乡镇（街道）认定地类进行补偿。实际补偿土地面积以征地测量结果为准。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青苗及地上附着物状况、数量以乡镇（街道）调查为准，并形成影像资料存档。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七</w:t>
      </w:r>
      <w:r>
        <w:rPr>
          <w:rFonts w:hint="eastAsia" w:ascii="仿宋_GB2312" w:eastAsia="仿宋_GB2312"/>
          <w:b/>
          <w:sz w:val="32"/>
          <w:szCs w:val="32"/>
        </w:rPr>
        <w:t>条</w:t>
      </w:r>
      <w:r>
        <w:rPr>
          <w:rFonts w:hint="eastAsia" w:ascii="仿宋_GB2312" w:eastAsia="仿宋_GB2312"/>
          <w:sz w:val="32"/>
          <w:szCs w:val="32"/>
        </w:rPr>
        <w:t xml:space="preserve">  对无法耕种的边角地、夹心地按照本办法规定标准予以补偿。具体范围由乡镇（街道）认定，补偿后土地由乡镇（街道）负责管护。边角地、夹心地原则上不得超过报批面积的8%。</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w:t>
      </w:r>
      <w:r>
        <w:rPr>
          <w:rFonts w:hint="eastAsia" w:ascii="仿宋_GB2312" w:eastAsia="仿宋_GB2312"/>
          <w:b/>
          <w:sz w:val="32"/>
          <w:szCs w:val="32"/>
          <w:lang w:eastAsia="zh-CN"/>
        </w:rPr>
        <w:t>八</w:t>
      </w:r>
      <w:r>
        <w:rPr>
          <w:rFonts w:hint="eastAsia" w:ascii="仿宋_GB2312" w:eastAsia="仿宋_GB2312"/>
          <w:b/>
          <w:sz w:val="32"/>
          <w:szCs w:val="32"/>
        </w:rPr>
        <w:t xml:space="preserve">条  </w:t>
      </w:r>
      <w:r>
        <w:rPr>
          <w:rFonts w:hint="eastAsia" w:ascii="仿宋_GB2312" w:eastAsia="仿宋_GB2312"/>
          <w:sz w:val="32"/>
          <w:szCs w:val="32"/>
        </w:rPr>
        <w:t>国有土地的溪滩地政策处理，能提供土地承包权证的，参照征收集体土地区片综合补偿标准按耕地类给予补偿；能提供林权证的，参照征收集体土地区片综合补偿标准按林地类给予补偿；不能提供权属证明的，但实际第二轮土地承包以前本村村民已经连续种植的，参照征收集体土地区片综合补偿标准耕地类的30%补偿，单侧补偿范围边界控制在河道实际宽度（有水利蓝线的，从蓝线；无水利蓝线的，按护堤或实际控制线）的12%以内；其他溪滩地不予补偿。综合补偿费用拨付给村集体，由村集体统筹。</w:t>
      </w:r>
    </w:p>
    <w:p>
      <w:pPr>
        <w:rPr>
          <w:rFonts w:ascii="仿宋_GB2312" w:eastAsia="仿宋_GB2312"/>
          <w:sz w:val="32"/>
          <w:szCs w:val="32"/>
        </w:rPr>
      </w:pPr>
      <w:r>
        <w:rPr>
          <w:rFonts w:hint="eastAsia" w:ascii="仿宋_GB2312" w:eastAsia="仿宋_GB2312"/>
          <w:sz w:val="32"/>
          <w:szCs w:val="32"/>
        </w:rPr>
        <w:t xml:space="preserve">    当季作物、已在本地块种植3年以上的苗木参照集体土地征收青苗及地上附着物补偿标准执行。 </w:t>
      </w:r>
    </w:p>
    <w:p>
      <w:pPr>
        <w:rPr>
          <w:rFonts w:ascii="仿宋_GB2312" w:eastAsia="仿宋_GB2312"/>
          <w:sz w:val="32"/>
          <w:szCs w:val="32"/>
        </w:rPr>
      </w:pPr>
      <w:r>
        <w:rPr>
          <w:rFonts w:hint="eastAsia" w:ascii="仿宋_GB2312" w:eastAsia="仿宋_GB2312"/>
          <w:sz w:val="32"/>
          <w:szCs w:val="32"/>
        </w:rPr>
        <w:t xml:space="preserve">    溪滩地征收只作补偿，不核村级留用地指标和被征地农民基本生活保障名额。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九</w:t>
      </w:r>
      <w:r>
        <w:rPr>
          <w:rFonts w:hint="eastAsia" w:ascii="仿宋_GB2312" w:eastAsia="仿宋_GB2312"/>
          <w:b/>
          <w:sz w:val="32"/>
          <w:szCs w:val="32"/>
        </w:rPr>
        <w:t>条</w:t>
      </w:r>
      <w:r>
        <w:rPr>
          <w:rFonts w:hint="eastAsia" w:ascii="仿宋_GB2312" w:eastAsia="仿宋_GB2312"/>
          <w:sz w:val="32"/>
          <w:szCs w:val="32"/>
        </w:rPr>
        <w:t xml:space="preserve">  被征收土地的农村集体经济组织和农民应当服从社会经济发展对建设用地的需要，在依法维护自己的合法权益的同时，积极配合做好征地工作。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 xml:space="preserve"> 除林地外的其它农用地、建设用地参照耕地标准补偿。同一地块征地涉及不同区片的，按“就高不就低”原则进行补偿。重大项目涉及多地块多片区的可结合实际另行研究补偿。</w:t>
      </w:r>
    </w:p>
    <w:p>
      <w:pPr>
        <w:spacing w:line="560" w:lineRule="exact"/>
        <w:jc w:val="left"/>
        <w:rPr>
          <w:rFonts w:ascii="仿宋_GB2312" w:eastAsia="仿宋_GB2312"/>
          <w:sz w:val="32"/>
          <w:szCs w:val="32"/>
        </w:rPr>
      </w:pPr>
      <w:r>
        <w:rPr>
          <w:rFonts w:hint="eastAsia" w:ascii="仿宋_GB2312" w:eastAsia="仿宋_GB2312"/>
          <w:b/>
          <w:sz w:val="32"/>
          <w:szCs w:val="32"/>
        </w:rPr>
        <w:t xml:space="preserve">    第十</w:t>
      </w:r>
      <w:r>
        <w:rPr>
          <w:rFonts w:hint="eastAsia" w:ascii="仿宋_GB2312" w:eastAsia="仿宋_GB2312"/>
          <w:b/>
          <w:sz w:val="32"/>
          <w:szCs w:val="32"/>
          <w:lang w:eastAsia="zh-CN"/>
        </w:rPr>
        <w:t>一</w:t>
      </w:r>
      <w:r>
        <w:rPr>
          <w:rFonts w:hint="eastAsia" w:ascii="仿宋_GB2312" w:eastAsia="仿宋_GB2312"/>
          <w:b/>
          <w:sz w:val="32"/>
          <w:szCs w:val="32"/>
        </w:rPr>
        <w:t>条</w:t>
      </w:r>
      <w:r>
        <w:rPr>
          <w:rFonts w:hint="eastAsia" w:ascii="仿宋_GB2312" w:eastAsia="仿宋_GB2312"/>
          <w:sz w:val="32"/>
          <w:szCs w:val="32"/>
        </w:rPr>
        <w:t xml:space="preserve">  区片范围和综合地价补偿标准按照《青田县人民政府关于调整征地区片综合地价补偿标准的通知》</w:t>
      </w:r>
      <w:r>
        <w:rPr>
          <w:rFonts w:hint="eastAsia" w:ascii="仿宋_GB2312" w:eastAsia="仿宋_GB2312"/>
          <w:sz w:val="32"/>
          <w:szCs w:val="32"/>
          <w:lang w:eastAsia="zh-CN"/>
        </w:rPr>
        <w:t>（青政办发〔2020〕27 号）</w:t>
      </w:r>
      <w:r>
        <w:rPr>
          <w:rFonts w:hint="eastAsia" w:ascii="仿宋_GB2312" w:eastAsia="仿宋_GB2312"/>
          <w:sz w:val="32"/>
          <w:szCs w:val="32"/>
        </w:rPr>
        <w:t>执行。</w:t>
      </w:r>
    </w:p>
    <w:p>
      <w:pPr>
        <w:spacing w:line="560" w:lineRule="exact"/>
        <w:jc w:val="center"/>
        <w:rPr>
          <w:rFonts w:ascii="仿宋_GB2312" w:eastAsia="仿宋_GB2312"/>
          <w:b/>
          <w:sz w:val="32"/>
          <w:szCs w:val="32"/>
        </w:rPr>
      </w:pPr>
      <w:r>
        <w:rPr>
          <w:rFonts w:hint="eastAsia" w:ascii="仿宋_GB2312" w:eastAsia="仿宋_GB2312"/>
          <w:b/>
          <w:sz w:val="32"/>
          <w:szCs w:val="32"/>
        </w:rPr>
        <w:t xml:space="preserve"> 第二章 青苗及地上附着物补偿标准</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二</w:t>
      </w:r>
      <w:r>
        <w:rPr>
          <w:rFonts w:hint="eastAsia" w:ascii="仿宋_GB2312" w:eastAsia="仿宋_GB2312"/>
          <w:b/>
          <w:sz w:val="32"/>
          <w:szCs w:val="32"/>
        </w:rPr>
        <w:t xml:space="preserve">条 </w:t>
      </w:r>
      <w:r>
        <w:rPr>
          <w:rFonts w:hint="eastAsia" w:ascii="仿宋_GB2312" w:eastAsia="仿宋_GB2312"/>
          <w:sz w:val="32"/>
          <w:szCs w:val="32"/>
        </w:rPr>
        <w:t xml:space="preserve"> 青苗补偿标准</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 xml:space="preserve">耕地上青苗补偿费标准为3元/平方米，无苗不补偿。 </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其中耕地、园地上种植的成片已投产多年生经济作物另行补偿5元/平方米。</w:t>
      </w:r>
    </w:p>
    <w:p>
      <w:pPr>
        <w:spacing w:line="560" w:lineRule="exact"/>
        <w:ind w:firstLine="640"/>
        <w:rPr>
          <w:rFonts w:ascii="仿宋_GB2312" w:eastAsia="仿宋_GB2312"/>
          <w:sz w:val="32"/>
          <w:szCs w:val="32"/>
        </w:rPr>
      </w:pPr>
      <w:r>
        <w:rPr>
          <w:rFonts w:hint="eastAsia" w:ascii="仿宋_GB2312" w:eastAsia="仿宋_GB2312"/>
          <w:sz w:val="32"/>
          <w:szCs w:val="32"/>
        </w:rPr>
        <w:t>零星的林木，按每株大小补偿，标准以树木胸径确定，胸径以树木离地1.3米计算</w:t>
      </w:r>
      <w:r>
        <w:rPr>
          <w:rFonts w:hint="eastAsia" w:ascii="仿宋_GB2312" w:eastAsia="仿宋_GB2312"/>
          <w:b/>
          <w:sz w:val="32"/>
          <w:szCs w:val="32"/>
        </w:rPr>
        <w:t>。</w:t>
      </w:r>
      <w:r>
        <w:rPr>
          <w:rFonts w:hint="eastAsia" w:ascii="仿宋_GB2312" w:eastAsia="仿宋_GB2312"/>
          <w:sz w:val="32"/>
          <w:szCs w:val="32"/>
        </w:rPr>
        <w:t>树木、果木补偿标准（附件1）。</w:t>
      </w:r>
    </w:p>
    <w:p>
      <w:pPr>
        <w:spacing w:line="560" w:lineRule="exact"/>
        <w:ind w:firstLine="640"/>
        <w:rPr>
          <w:rFonts w:ascii="仿宋_GB2312" w:eastAsia="仿宋_GB2312"/>
          <w:sz w:val="32"/>
          <w:szCs w:val="32"/>
        </w:rPr>
      </w:pPr>
      <w:r>
        <w:rPr>
          <w:rFonts w:hint="eastAsia" w:ascii="仿宋_GB2312" w:eastAsia="仿宋_GB2312"/>
          <w:sz w:val="32"/>
          <w:szCs w:val="32"/>
        </w:rPr>
        <w:t>成片的多年生苗木花卉基地，经乡镇（街道）认定后，酌情给予适当的苗木迁移补助。大型名贵树木,经征收部门同意，仅作迁移，迁移费可按评估补偿。政府挂牌的名木古树，经主管部门批准迁移并经征收部门同意后，迁移费可按评估补偿，经主管部门审查不适宜迁移的，按价值予以评估补偿。</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三</w:t>
      </w:r>
      <w:r>
        <w:rPr>
          <w:rFonts w:hint="eastAsia" w:ascii="仿宋_GB2312" w:eastAsia="仿宋_GB2312"/>
          <w:b/>
          <w:sz w:val="32"/>
          <w:szCs w:val="32"/>
        </w:rPr>
        <w:t>条</w:t>
      </w:r>
      <w:r>
        <w:rPr>
          <w:rFonts w:hint="eastAsia" w:ascii="仿宋_GB2312" w:eastAsia="仿宋_GB2312"/>
          <w:sz w:val="32"/>
          <w:szCs w:val="32"/>
        </w:rPr>
        <w:t xml:space="preserve">  地上附着物补偿标准</w:t>
      </w:r>
    </w:p>
    <w:p>
      <w:pPr>
        <w:spacing w:line="560" w:lineRule="exact"/>
        <w:ind w:firstLine="640"/>
        <w:rPr>
          <w:rFonts w:ascii="仿宋_GB2312" w:eastAsia="仿宋_GB2312"/>
          <w:sz w:val="32"/>
          <w:szCs w:val="32"/>
        </w:rPr>
      </w:pPr>
      <w:r>
        <w:rPr>
          <w:rFonts w:hint="eastAsia" w:ascii="仿宋_GB2312" w:eastAsia="仿宋_GB2312"/>
          <w:sz w:val="32"/>
          <w:szCs w:val="32"/>
        </w:rPr>
        <w:t>（一）砖瓦窑补偿标准。圆型：13000元/座；方型：9000元/座。</w:t>
      </w:r>
    </w:p>
    <w:p>
      <w:pPr>
        <w:spacing w:line="560" w:lineRule="exact"/>
        <w:ind w:firstLine="640"/>
        <w:rPr>
          <w:rFonts w:ascii="仿宋_GB2312" w:eastAsia="仿宋_GB2312"/>
          <w:sz w:val="32"/>
          <w:szCs w:val="32"/>
        </w:rPr>
      </w:pPr>
      <w:r>
        <w:rPr>
          <w:rFonts w:hint="eastAsia" w:ascii="仿宋_GB2312" w:eastAsia="仿宋_GB2312"/>
          <w:sz w:val="32"/>
          <w:szCs w:val="32"/>
        </w:rPr>
        <w:t>（二）坟墓补偿标准。</w:t>
      </w:r>
    </w:p>
    <w:p>
      <w:pPr>
        <w:spacing w:line="560" w:lineRule="exact"/>
        <w:ind w:firstLine="640"/>
        <w:rPr>
          <w:rFonts w:ascii="仿宋_GB2312" w:eastAsia="仿宋_GB2312"/>
          <w:sz w:val="32"/>
          <w:szCs w:val="32"/>
        </w:rPr>
      </w:pPr>
      <w:r>
        <w:rPr>
          <w:rFonts w:hint="eastAsia" w:ascii="仿宋_GB2312" w:eastAsia="仿宋_GB2312"/>
          <w:sz w:val="32"/>
          <w:szCs w:val="32"/>
        </w:rPr>
        <w:t>1.坟墓迁移原则安排迁移至生态公墓，按下列标准补偿：</w:t>
      </w:r>
    </w:p>
    <w:p>
      <w:pPr>
        <w:spacing w:line="560" w:lineRule="exact"/>
        <w:ind w:firstLine="640"/>
        <w:rPr>
          <w:rFonts w:ascii="仿宋_GB2312" w:eastAsia="仿宋_GB2312"/>
          <w:sz w:val="32"/>
          <w:szCs w:val="32"/>
        </w:rPr>
      </w:pPr>
      <w:r>
        <w:rPr>
          <w:rFonts w:hint="eastAsia" w:ascii="仿宋_GB2312" w:eastAsia="仿宋_GB2312"/>
          <w:sz w:val="32"/>
          <w:szCs w:val="32"/>
        </w:rPr>
        <w:t>当地或就近有可迁移生态公墓的，按生态公墓的价格补偿。</w:t>
      </w:r>
    </w:p>
    <w:p>
      <w:pPr>
        <w:spacing w:line="560" w:lineRule="exact"/>
        <w:ind w:firstLine="640"/>
        <w:rPr>
          <w:rFonts w:ascii="仿宋_GB2312" w:eastAsia="仿宋_GB2312"/>
          <w:sz w:val="32"/>
          <w:szCs w:val="32"/>
        </w:rPr>
      </w:pPr>
      <w:r>
        <w:rPr>
          <w:rFonts w:hint="eastAsia" w:ascii="仿宋_GB2312" w:eastAsia="仿宋_GB2312"/>
          <w:sz w:val="32"/>
          <w:szCs w:val="32"/>
        </w:rPr>
        <w:t>当地或就近无可迁移生态公墓的，乡镇（街道）应当牵头建设生态公墓，并按生态公墓的价格补偿。</w:t>
      </w:r>
    </w:p>
    <w:p>
      <w:pPr>
        <w:spacing w:line="560" w:lineRule="exact"/>
        <w:ind w:firstLine="640"/>
        <w:rPr>
          <w:rFonts w:ascii="仿宋_GB2312" w:eastAsia="仿宋_GB2312"/>
          <w:sz w:val="32"/>
          <w:szCs w:val="32"/>
        </w:rPr>
      </w:pPr>
      <w:r>
        <w:rPr>
          <w:rFonts w:hint="eastAsia" w:ascii="仿宋_GB2312" w:eastAsia="仿宋_GB2312"/>
          <w:sz w:val="32"/>
          <w:szCs w:val="32"/>
        </w:rPr>
        <w:t>坟墓迁移费单穴500元/座，双穴</w:t>
      </w:r>
      <w:r>
        <w:rPr>
          <w:rFonts w:hint="eastAsia" w:ascii="仿宋_GB2312" w:eastAsia="仿宋_GB2312"/>
          <w:sz w:val="32"/>
          <w:szCs w:val="32"/>
          <w:lang w:val="en-US" w:eastAsia="zh-CN"/>
        </w:rPr>
        <w:t>1000</w:t>
      </w:r>
      <w:r>
        <w:rPr>
          <w:rFonts w:hint="eastAsia" w:ascii="仿宋_GB2312" w:eastAsia="仿宋_GB2312"/>
          <w:sz w:val="32"/>
          <w:szCs w:val="32"/>
        </w:rPr>
        <w:t>元/座。</w:t>
      </w:r>
    </w:p>
    <w:p>
      <w:pPr>
        <w:spacing w:line="560" w:lineRule="exact"/>
        <w:ind w:firstLine="640"/>
        <w:rPr>
          <w:rFonts w:ascii="仿宋_GB2312" w:eastAsia="仿宋_GB2312"/>
          <w:sz w:val="32"/>
          <w:szCs w:val="32"/>
        </w:rPr>
      </w:pPr>
      <w:r>
        <w:rPr>
          <w:rFonts w:hint="eastAsia" w:ascii="仿宋_GB2312" w:eastAsia="仿宋_GB2312"/>
          <w:sz w:val="32"/>
          <w:szCs w:val="32"/>
        </w:rPr>
        <w:t>2.因特殊情况，不迁移生态公墓的按下列标准补偿（包括迁移费）：</w:t>
      </w:r>
    </w:p>
    <w:p>
      <w:pPr>
        <w:spacing w:line="560" w:lineRule="exact"/>
        <w:ind w:firstLine="640"/>
        <w:rPr>
          <w:rFonts w:ascii="仿宋_GB2312" w:eastAsia="仿宋_GB2312"/>
          <w:sz w:val="32"/>
          <w:szCs w:val="32"/>
        </w:rPr>
      </w:pPr>
      <w:r>
        <w:rPr>
          <w:rFonts w:hint="eastAsia" w:ascii="仿宋_GB2312" w:eastAsia="仿宋_GB2312"/>
          <w:sz w:val="32"/>
          <w:szCs w:val="32"/>
        </w:rPr>
        <w:t>双穴水泥坟：6500元/座（大），4800元/座（中），3800元/座（小）；单穴水泥坟3200元/座；双穴土坟3200元/座；单穴土坟2000元/座。</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（三）其它地上附着物补偿标准（附件2）</w:t>
      </w:r>
    </w:p>
    <w:p>
      <w:pPr>
        <w:spacing w:line="560" w:lineRule="exact"/>
        <w:ind w:firstLine="63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四</w:t>
      </w:r>
      <w:r>
        <w:rPr>
          <w:rFonts w:hint="eastAsia" w:ascii="仿宋_GB2312" w:eastAsia="仿宋_GB2312"/>
          <w:b/>
          <w:sz w:val="32"/>
          <w:szCs w:val="32"/>
        </w:rPr>
        <w:t>条</w:t>
      </w:r>
      <w:r>
        <w:rPr>
          <w:rFonts w:hint="eastAsia" w:ascii="仿宋_GB2312" w:eastAsia="仿宋_GB2312"/>
          <w:sz w:val="32"/>
          <w:szCs w:val="32"/>
        </w:rPr>
        <w:t xml:space="preserve">  征收集体土地范围内涉及房屋征收的，其补偿标准按照</w:t>
      </w:r>
      <w:r>
        <w:rPr>
          <w:rFonts w:hint="eastAsia" w:ascii="仿宋_GB2312" w:eastAsia="仿宋_GB2312"/>
          <w:sz w:val="32"/>
          <w:szCs w:val="32"/>
          <w:lang w:eastAsia="zh-CN"/>
        </w:rPr>
        <w:t>最新补偿办法</w:t>
      </w:r>
      <w:r>
        <w:rPr>
          <w:rFonts w:hint="eastAsia" w:ascii="仿宋_GB2312" w:eastAsia="仿宋_GB2312"/>
          <w:sz w:val="32"/>
          <w:szCs w:val="32"/>
        </w:rPr>
        <w:t>执行。</w:t>
      </w:r>
    </w:p>
    <w:p>
      <w:pPr>
        <w:spacing w:line="560" w:lineRule="exact"/>
        <w:ind w:firstLine="63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sz w:val="32"/>
          <w:szCs w:val="32"/>
        </w:rPr>
        <w:t xml:space="preserve">  上述未明确的青苗和地上附着物由土地和房屋征收工作指导中心牵头相关部门研究确定。</w:t>
      </w:r>
    </w:p>
    <w:p>
      <w:pPr>
        <w:spacing w:line="560" w:lineRule="exact"/>
        <w:jc w:val="center"/>
        <w:rPr>
          <w:rFonts w:ascii="黑体" w:eastAsia="黑体"/>
          <w:sz w:val="32"/>
          <w:szCs w:val="32"/>
        </w:rPr>
      </w:pPr>
      <w:r>
        <w:rPr>
          <w:rFonts w:hint="eastAsia" w:ascii="黑体" w:eastAsia="黑体"/>
          <w:sz w:val="32"/>
          <w:szCs w:val="32"/>
        </w:rPr>
        <w:t>第三章 附则</w:t>
      </w:r>
    </w:p>
    <w:p>
      <w:pPr>
        <w:spacing w:line="560" w:lineRule="exact"/>
        <w:ind w:firstLine="640"/>
        <w:jc w:val="left"/>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sz w:val="32"/>
          <w:szCs w:val="32"/>
        </w:rPr>
        <w:t xml:space="preserve">  集体土地征收补偿安置费和工作经费由县财政给予保障，从青田县土地和房屋征收有限公司列支。乡镇（街道）工作经费标准按照青田县人民政府《关于加强国有土地出让金净收益和土地房屋征收与采矿权出让政策处理工作经费管理的暂行规定》（青政发〔2012〕149号）执行。</w:t>
      </w:r>
    </w:p>
    <w:p>
      <w:pPr>
        <w:spacing w:line="560" w:lineRule="exact"/>
        <w:ind w:firstLine="640"/>
        <w:jc w:val="left"/>
        <w:rPr>
          <w:rFonts w:hint="default" w:ascii="仿宋_GB2312" w:eastAsia="仿宋_GB2312"/>
          <w:sz w:val="32"/>
          <w:szCs w:val="32"/>
          <w:lang w:val="en-US" w:eastAsia="zh-CN"/>
        </w:rPr>
      </w:pPr>
      <w:r>
        <w:rPr>
          <w:rFonts w:hint="eastAsia" w:ascii="仿宋_GB2312" w:eastAsia="仿宋_GB2312"/>
          <w:b/>
          <w:bCs/>
          <w:sz w:val="32"/>
          <w:szCs w:val="32"/>
          <w:lang w:val="en-US" w:eastAsia="zh-CN"/>
        </w:rPr>
        <w:t xml:space="preserve">第十七条 </w:t>
      </w:r>
      <w:r>
        <w:rPr>
          <w:rFonts w:hint="eastAsia" w:ascii="仿宋_GB2312" w:eastAsia="仿宋_GB2312"/>
          <w:sz w:val="32"/>
          <w:szCs w:val="32"/>
          <w:lang w:val="en-US" w:eastAsia="zh-CN"/>
        </w:rPr>
        <w:t xml:space="preserve"> </w:t>
      </w:r>
      <w:r>
        <w:rPr>
          <w:rFonts w:hint="eastAsia" w:ascii="仿宋_GB2312" w:eastAsia="仿宋_GB2312"/>
          <w:sz w:val="32"/>
          <w:szCs w:val="32"/>
        </w:rPr>
        <w:t>集体土地上附着物和青苗补偿标准</w:t>
      </w:r>
      <w:r>
        <w:rPr>
          <w:rFonts w:hint="eastAsia" w:ascii="仿宋_GB2312" w:eastAsia="仿宋_GB2312"/>
          <w:sz w:val="32"/>
          <w:szCs w:val="32"/>
          <w:lang w:val="en-US" w:eastAsia="zh-CN"/>
        </w:rPr>
        <w:t>起始时间为2020年1月1日。</w:t>
      </w:r>
    </w:p>
    <w:p>
      <w:pPr>
        <w:spacing w:line="560" w:lineRule="exact"/>
        <w:ind w:firstLine="630"/>
        <w:rPr>
          <w:rFonts w:hint="default" w:ascii="仿宋_GB2312" w:eastAsia="仿宋_GB2312"/>
          <w:sz w:val="32"/>
          <w:szCs w:val="32"/>
          <w:lang w:val="en-US" w:eastAsia="zh-CN"/>
        </w:rPr>
      </w:pPr>
      <w:r>
        <w:rPr>
          <w:rFonts w:hint="eastAsia" w:ascii="仿宋_GB2312" w:eastAsia="仿宋_GB2312"/>
          <w:b/>
          <w:sz w:val="32"/>
          <w:szCs w:val="32"/>
        </w:rPr>
        <w:t>第十</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xml:space="preserve">  本办法自</w:t>
      </w:r>
      <w:r>
        <w:rPr>
          <w:rFonts w:hint="eastAsia" w:ascii="仿宋_GB2312" w:eastAsia="仿宋_GB2312"/>
          <w:sz w:val="32"/>
          <w:szCs w:val="32"/>
          <w:lang w:val="en-US" w:eastAsia="zh-CN"/>
        </w:rPr>
        <w:t>2021年4月16日起</w:t>
      </w:r>
      <w:r>
        <w:rPr>
          <w:rFonts w:hint="eastAsia" w:ascii="仿宋_GB2312" w:eastAsia="仿宋_GB2312"/>
          <w:sz w:val="32"/>
          <w:szCs w:val="32"/>
        </w:rPr>
        <w:t>施行。</w:t>
      </w:r>
      <w:r>
        <w:rPr>
          <w:rFonts w:hint="eastAsia" w:ascii="仿宋_GB2312" w:eastAsia="仿宋_GB2312"/>
          <w:sz w:val="32"/>
          <w:szCs w:val="32"/>
          <w:lang w:val="en-US" w:eastAsia="zh-CN"/>
        </w:rPr>
        <w:t>此前文件规定与本办法不一致的，按本办法执行。</w:t>
      </w:r>
    </w:p>
    <w:p>
      <w:pPr>
        <w:spacing w:line="560" w:lineRule="exact"/>
        <w:ind w:firstLine="630"/>
        <w:rPr>
          <w:rFonts w:ascii="仿宋_GB2312" w:eastAsia="仿宋_GB2312"/>
          <w:sz w:val="32"/>
          <w:szCs w:val="32"/>
        </w:rPr>
      </w:pPr>
    </w:p>
    <w:p>
      <w:pPr>
        <w:spacing w:line="560" w:lineRule="exact"/>
        <w:ind w:firstLine="630"/>
        <w:rPr>
          <w:rFonts w:ascii="仿宋_GB2312" w:eastAsia="仿宋_GB2312"/>
          <w:sz w:val="32"/>
          <w:szCs w:val="32"/>
        </w:rPr>
      </w:pPr>
    </w:p>
    <w:p>
      <w:pPr>
        <w:spacing w:line="560" w:lineRule="exact"/>
        <w:ind w:firstLine="630"/>
        <w:rPr>
          <w:rFonts w:ascii="仿宋_GB2312" w:eastAsia="仿宋_GB2312"/>
          <w:sz w:val="32"/>
          <w:szCs w:val="32"/>
        </w:rPr>
      </w:pPr>
      <w:r>
        <w:rPr>
          <w:rFonts w:hint="eastAsia" w:ascii="仿宋_GB2312" w:eastAsia="仿宋_GB2312"/>
          <w:sz w:val="32"/>
          <w:szCs w:val="32"/>
        </w:rPr>
        <w:t>附件：1．青田县树木、果木补偿标准</w:t>
      </w:r>
    </w:p>
    <w:p>
      <w:pPr>
        <w:spacing w:line="560" w:lineRule="exact"/>
        <w:ind w:firstLine="1593" w:firstLineChars="498"/>
        <w:rPr>
          <w:rFonts w:ascii="仿宋_GB2312" w:eastAsia="仿宋_GB2312"/>
          <w:sz w:val="32"/>
          <w:szCs w:val="32"/>
        </w:rPr>
      </w:pPr>
      <w:r>
        <w:rPr>
          <w:rFonts w:hint="eastAsia" w:ascii="仿宋_GB2312" w:eastAsia="仿宋_GB2312"/>
          <w:sz w:val="32"/>
          <w:szCs w:val="32"/>
        </w:rPr>
        <w:t>2．青田县地上附着物补偿标准</w:t>
      </w: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spacing w:line="560" w:lineRule="exact"/>
        <w:ind w:firstLine="1593" w:firstLineChars="498"/>
        <w:rPr>
          <w:rFonts w:ascii="仿宋_GB2312" w:eastAsia="仿宋_GB2312"/>
          <w:sz w:val="32"/>
          <w:szCs w:val="32"/>
        </w:rPr>
      </w:pPr>
    </w:p>
    <w:p>
      <w:pPr>
        <w:rPr>
          <w:bCs/>
          <w:spacing w:val="-20"/>
          <w:kern w:val="24"/>
          <w:sz w:val="24"/>
        </w:rPr>
      </w:pPr>
    </w:p>
    <w:p>
      <w:pPr>
        <w:rPr>
          <w:bCs/>
          <w:spacing w:val="-20"/>
          <w:kern w:val="24"/>
          <w:sz w:val="24"/>
        </w:rPr>
      </w:pPr>
      <w:r>
        <w:rPr>
          <w:rFonts w:hint="eastAsia"/>
          <w:bCs/>
          <w:spacing w:val="-20"/>
          <w:kern w:val="24"/>
          <w:sz w:val="24"/>
        </w:rPr>
        <w:t>附件1</w:t>
      </w:r>
    </w:p>
    <w:p>
      <w:pPr>
        <w:spacing w:line="400" w:lineRule="exact"/>
        <w:jc w:val="center"/>
        <w:rPr>
          <w:b/>
          <w:sz w:val="36"/>
        </w:rPr>
      </w:pPr>
      <w:r>
        <w:rPr>
          <w:rFonts w:hint="eastAsia"/>
          <w:b/>
          <w:sz w:val="36"/>
        </w:rPr>
        <w:t>青田县树木、果木补偿标准</w:t>
      </w:r>
    </w:p>
    <w:p>
      <w:pPr>
        <w:spacing w:line="400" w:lineRule="exact"/>
        <w:jc w:val="center"/>
        <w:rPr>
          <w:b/>
          <w:kern w:val="0"/>
          <w:sz w:val="36"/>
        </w:rPr>
      </w:pPr>
    </w:p>
    <w:tbl>
      <w:tblPr>
        <w:tblStyle w:val="4"/>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814"/>
        <w:gridCol w:w="783"/>
        <w:gridCol w:w="2065"/>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成片的树木、果木生、苗木花卉补偿标准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exac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40"/>
              <w:rPr>
                <w:rFonts w:ascii="仿宋_GB2312" w:eastAsia="仿宋_GB2312"/>
                <w:sz w:val="32"/>
                <w:szCs w:val="32"/>
              </w:rPr>
            </w:pPr>
            <w:r>
              <w:rPr>
                <w:rFonts w:hint="eastAsia" w:ascii="仿宋_GB2312" w:eastAsia="仿宋_GB2312"/>
                <w:sz w:val="32"/>
                <w:szCs w:val="32"/>
              </w:rPr>
              <w:t>1.成片的林木，按面积补偿，标准分别为树龄15年以上的（含15年），3元/平方米；树龄5—14年的，2.5元/平方米；树龄4年以下的（含4年），1.5元/平方米。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exact"/>
        </w:trPr>
        <w:tc>
          <w:tcPr>
            <w:tcW w:w="5000" w:type="pct"/>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32"/>
                <w:szCs w:val="32"/>
              </w:rPr>
              <w:t>零星的树木、果木补偿标准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品 种</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等 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单 位</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单价（元）</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杉木</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3</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sz w:val="24"/>
              </w:rPr>
            </w:pPr>
            <w:r>
              <w:rPr>
                <w:rFonts w:hint="eastAsia" w:ascii="仿宋_GB2312" w:eastAsia="仿宋_GB2312"/>
                <w:sz w:val="24"/>
              </w:rPr>
              <w:t>含水杉、柳杉、泡桐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胸径9 cm以上</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松木</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2</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胸径9 cm以上</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樟木</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12</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胸径9cm以上</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20-40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银杏</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10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continue"/>
            <w:tcBorders>
              <w:left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40-150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红豆杉</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胸径3cm以下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10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continue"/>
            <w:tcBorders>
              <w:left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胸径3-5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30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565" w:type="pct"/>
            <w:vMerge w:val="continue"/>
            <w:tcBorders>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60-200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罗汉松</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胸径3cm以下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10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vMerge w:val="continue"/>
            <w:tcBorders>
              <w:left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胸径3-5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30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565" w:type="pct"/>
            <w:vMerge w:val="continue"/>
            <w:tcBorders>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胸径5cm-9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80-300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散生竹</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8</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szCs w:val="21"/>
              </w:rPr>
            </w:pPr>
            <w:r>
              <w:rPr>
                <w:rFonts w:hint="eastAsia" w:ascii="仿宋_GB2312" w:eastAsia="仿宋_GB2312"/>
                <w:szCs w:val="21"/>
              </w:rPr>
              <w:t>含雷公竹、石竹，墨竹五株折一株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丛生竹</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丛</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30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阔叶木</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胸径5cm以1下</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3</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灌木林参照执行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胸径5-10 cm</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胸径10cm以上</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茶叶</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丛</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15</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油茶</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10-50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苗5元每株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桑树</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12</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三年桐</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15</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含千年桐、乌柏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已投产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40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trPr>
        <w:tc>
          <w:tcPr>
            <w:tcW w:w="565"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毛棕</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已投产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12</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未投产的不补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覆盆子</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5</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continue"/>
            <w:tcBorders>
              <w:left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初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10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continue"/>
            <w:tcBorders>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盛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20</w:t>
            </w:r>
          </w:p>
        </w:tc>
        <w:tc>
          <w:tcPr>
            <w:tcW w:w="1719"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柑桔</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b/>
                <w:sz w:val="24"/>
              </w:rPr>
            </w:pPr>
            <w:r>
              <w:rPr>
                <w:rFonts w:hint="eastAsia" w:ascii="仿宋_GB2312" w:eastAsia="仿宋_GB2312"/>
                <w:sz w:val="24"/>
              </w:rPr>
              <w:t>15</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含桃、葡萄、梨、枇杷</w:t>
            </w:r>
          </w:p>
          <w:p>
            <w:pPr>
              <w:spacing w:line="340" w:lineRule="exact"/>
              <w:jc w:val="center"/>
              <w:rPr>
                <w:rFonts w:ascii="仿宋_GB2312" w:hAnsi="宋体" w:eastAsia="仿宋_GB2312"/>
                <w:sz w:val="24"/>
              </w:rPr>
            </w:pPr>
            <w:r>
              <w:rPr>
                <w:rFonts w:hint="eastAsia" w:ascii="仿宋_GB2312" w:eastAsia="仿宋_GB2312"/>
                <w:sz w:val="24"/>
              </w:rPr>
              <w:t>青枣、石榴、桑葚果树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初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50-80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盛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120-150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板粟</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15</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含柿、柚、杏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初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50-120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盛  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180-230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65"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杨梅</w:t>
            </w:r>
          </w:p>
        </w:tc>
        <w:tc>
          <w:tcPr>
            <w:tcW w:w="105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未投产</w:t>
            </w:r>
          </w:p>
        </w:tc>
        <w:tc>
          <w:tcPr>
            <w:tcW w:w="45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r>
              <w:rPr>
                <w:rFonts w:hint="eastAsia" w:ascii="仿宋_GB2312" w:eastAsia="仿宋_GB2312"/>
                <w:sz w:val="24"/>
              </w:rPr>
              <w:t>15</w:t>
            </w:r>
          </w:p>
        </w:tc>
        <w:tc>
          <w:tcPr>
            <w:tcW w:w="1719"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初  产</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120-300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盛  产</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株</w:t>
            </w:r>
          </w:p>
        </w:tc>
        <w:tc>
          <w:tcPr>
            <w:tcW w:w="120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eastAsia="仿宋_GB2312"/>
                <w:sz w:val="24"/>
              </w:rPr>
              <w:t>400-450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bl>
    <w:p/>
    <w:p/>
    <w:p/>
    <w:p/>
    <w:p/>
    <w:p/>
    <w:p/>
    <w:p/>
    <w:p/>
    <w:p/>
    <w:p/>
    <w:p/>
    <w:p/>
    <w:p/>
    <w:p/>
    <w:p/>
    <w:p/>
    <w:p/>
    <w:p/>
    <w:p/>
    <w:p>
      <w:pPr>
        <w:rPr>
          <w:rFonts w:ascii="仿宋_GB2312" w:eastAsia="仿宋_GB2312"/>
          <w:bCs/>
          <w:spacing w:val="-20"/>
          <w:kern w:val="24"/>
          <w:sz w:val="24"/>
        </w:rPr>
      </w:pPr>
      <w:r>
        <w:br w:type="textWrapping"/>
      </w:r>
      <w:r>
        <w:rPr>
          <w:rFonts w:hint="eastAsia" w:ascii="仿宋_GB2312" w:eastAsia="仿宋_GB2312"/>
          <w:bCs/>
          <w:spacing w:val="-20"/>
          <w:kern w:val="24"/>
          <w:sz w:val="24"/>
        </w:rPr>
        <w:t>附件2</w:t>
      </w:r>
    </w:p>
    <w:p>
      <w:pPr>
        <w:spacing w:line="540" w:lineRule="exact"/>
        <w:rPr>
          <w:rFonts w:ascii="仿宋_GB2312" w:eastAsia="仿宋_GB2312"/>
          <w:kern w:val="0"/>
          <w:sz w:val="36"/>
          <w:szCs w:val="36"/>
        </w:rPr>
      </w:pPr>
      <w:r>
        <w:rPr>
          <w:rFonts w:hint="eastAsia" w:ascii="仿宋_GB2312" w:eastAsia="仿宋_GB2312"/>
          <w:szCs w:val="21"/>
        </w:rPr>
        <w:t xml:space="preserve">                 </w:t>
      </w:r>
      <w:r>
        <w:rPr>
          <w:rFonts w:hint="eastAsia" w:ascii="仿宋_GB2312" w:eastAsia="仿宋_GB2312"/>
          <w:b/>
          <w:sz w:val="36"/>
          <w:szCs w:val="36"/>
        </w:rPr>
        <w:t>青田县</w:t>
      </w:r>
      <w:r>
        <w:rPr>
          <w:rFonts w:hint="eastAsia" w:ascii="仿宋_GB2312" w:hAnsi="华文中宋" w:eastAsia="仿宋_GB2312"/>
          <w:b/>
          <w:sz w:val="36"/>
          <w:szCs w:val="36"/>
        </w:rPr>
        <w:t>地上附着物补偿标准</w:t>
      </w:r>
    </w:p>
    <w:tbl>
      <w:tblPr>
        <w:tblStyle w:val="4"/>
        <w:tblW w:w="9016" w:type="dxa"/>
        <w:tblInd w:w="0" w:type="dxa"/>
        <w:tblLayout w:type="autofit"/>
        <w:tblCellMar>
          <w:top w:w="0" w:type="dxa"/>
          <w:left w:w="108" w:type="dxa"/>
          <w:bottom w:w="0" w:type="dxa"/>
          <w:right w:w="108" w:type="dxa"/>
        </w:tblCellMar>
      </w:tblPr>
      <w:tblGrid>
        <w:gridCol w:w="533"/>
        <w:gridCol w:w="1509"/>
        <w:gridCol w:w="2160"/>
        <w:gridCol w:w="853"/>
        <w:gridCol w:w="1487"/>
        <w:gridCol w:w="2474"/>
      </w:tblGrid>
      <w:tr>
        <w:tblPrEx>
          <w:tblCellMar>
            <w:top w:w="0" w:type="dxa"/>
            <w:left w:w="108" w:type="dxa"/>
            <w:bottom w:w="0" w:type="dxa"/>
            <w:right w:w="108" w:type="dxa"/>
          </w:tblCellMar>
        </w:tblPrEx>
        <w:trPr>
          <w:trHeight w:val="597" w:hRule="atLeast"/>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序号</w:t>
            </w:r>
          </w:p>
        </w:tc>
        <w:tc>
          <w:tcPr>
            <w:tcW w:w="150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名称</w:t>
            </w:r>
          </w:p>
        </w:tc>
        <w:tc>
          <w:tcPr>
            <w:tcW w:w="21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分类</w:t>
            </w:r>
          </w:p>
        </w:tc>
        <w:tc>
          <w:tcPr>
            <w:tcW w:w="85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计量单位</w:t>
            </w:r>
          </w:p>
        </w:tc>
        <w:tc>
          <w:tcPr>
            <w:tcW w:w="148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标准价(元)</w:t>
            </w:r>
          </w:p>
        </w:tc>
        <w:tc>
          <w:tcPr>
            <w:tcW w:w="2474"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备注</w:t>
            </w: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菜棚</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钢管</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2</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b/>
                <w:sz w:val="28"/>
                <w:szCs w:val="28"/>
              </w:rPr>
            </w:pPr>
            <w:r>
              <w:rPr>
                <w:rFonts w:hint="eastAsia" w:ascii="仿宋_GB2312" w:eastAsia="仿宋_GB2312" w:cs="宋体"/>
                <w:sz w:val="28"/>
                <w:szCs w:val="28"/>
              </w:rPr>
              <w:t>20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毛竹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7</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6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池</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现浇混凝土</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3</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hint="default" w:ascii="仿宋_GB2312" w:hAnsi="宋体" w:eastAsia="仿宋_GB2312" w:cs="宋体"/>
                <w:color w:val="auto"/>
                <w:sz w:val="28"/>
                <w:szCs w:val="28"/>
                <w:lang w:val="en-US" w:eastAsia="zh-CN"/>
              </w:rPr>
            </w:pPr>
            <w:r>
              <w:rPr>
                <w:rFonts w:hint="eastAsia" w:ascii="仿宋_GB2312" w:eastAsia="仿宋_GB2312" w:cs="宋体"/>
                <w:color w:val="auto"/>
                <w:sz w:val="28"/>
                <w:szCs w:val="28"/>
                <w:lang w:val="en-US" w:eastAsia="zh-CN"/>
              </w:rPr>
              <w:t>150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包括水池、粪池、石灰池、氨水池等</w:t>
            </w:r>
          </w:p>
        </w:tc>
      </w:tr>
      <w:tr>
        <w:tblPrEx>
          <w:tblCellMar>
            <w:top w:w="0" w:type="dxa"/>
            <w:left w:w="108" w:type="dxa"/>
            <w:bottom w:w="0" w:type="dxa"/>
            <w:right w:w="108" w:type="dxa"/>
          </w:tblCellMar>
        </w:tblPrEx>
        <w:trPr>
          <w:trHeight w:val="35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浆砌表面找平</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hint="default" w:ascii="仿宋_GB2312" w:hAnsi="宋体" w:eastAsia="仿宋_GB2312" w:cs="宋体"/>
                <w:color w:val="auto"/>
                <w:sz w:val="28"/>
                <w:szCs w:val="28"/>
                <w:lang w:val="en-US" w:eastAsia="zh-CN"/>
              </w:rPr>
            </w:pPr>
            <w:r>
              <w:rPr>
                <w:rFonts w:hint="eastAsia" w:ascii="仿宋_GB2312" w:eastAsia="仿宋_GB2312" w:cs="宋体"/>
                <w:color w:val="auto"/>
                <w:sz w:val="28"/>
                <w:szCs w:val="28"/>
                <w:lang w:val="en-US" w:eastAsia="zh-CN"/>
              </w:rPr>
              <w:t>100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泥土</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hint="default" w:ascii="仿宋_GB2312" w:hAnsi="宋体" w:eastAsia="仿宋_GB2312" w:cs="宋体"/>
                <w:color w:val="auto"/>
                <w:sz w:val="28"/>
                <w:szCs w:val="28"/>
                <w:lang w:val="en-US" w:eastAsia="zh-CN"/>
              </w:rPr>
            </w:pPr>
            <w:r>
              <w:rPr>
                <w:rFonts w:hint="eastAsia" w:ascii="仿宋_GB2312" w:eastAsia="仿宋_GB2312" w:cs="宋体"/>
                <w:color w:val="auto"/>
                <w:sz w:val="28"/>
                <w:szCs w:val="28"/>
                <w:lang w:val="en-US" w:eastAsia="zh-CN"/>
              </w:rPr>
              <w:t>80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粪缸</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大</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只</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120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直径1米以上</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中</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直径0.5～1米</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小</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65</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直径0.5米以下</w:t>
            </w: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4</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三面光水渠</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1.5×2m</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具体根据横断面积大小按插入法计算</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1×1.5m</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150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0.5×0.5m</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100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54"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5</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水井</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深不足三米</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200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3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深三米以上</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39" w:hRule="atLeast"/>
        </w:trPr>
        <w:tc>
          <w:tcPr>
            <w:tcW w:w="533"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6</w:t>
            </w:r>
          </w:p>
        </w:tc>
        <w:tc>
          <w:tcPr>
            <w:tcW w:w="1509"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摇井</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摇井</w:t>
            </w:r>
          </w:p>
        </w:tc>
        <w:tc>
          <w:tcPr>
            <w:tcW w:w="853"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口</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800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595" w:hRule="atLeast"/>
        </w:trPr>
        <w:tc>
          <w:tcPr>
            <w:tcW w:w="533"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7</w:t>
            </w:r>
          </w:p>
        </w:tc>
        <w:tc>
          <w:tcPr>
            <w:tcW w:w="1509"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水泥空心板</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0.35m×3.5m</w:t>
            </w:r>
          </w:p>
        </w:tc>
        <w:tc>
          <w:tcPr>
            <w:tcW w:w="853"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块</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葡萄架</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水泥桩架</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亩</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2200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　</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竹木桩架</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1500</w:t>
            </w:r>
          </w:p>
        </w:tc>
        <w:tc>
          <w:tcPr>
            <w:tcW w:w="2474"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
                <w:sz w:val="28"/>
                <w:szCs w:val="28"/>
              </w:rPr>
            </w:pPr>
            <w:r>
              <w:rPr>
                <w:rFonts w:hint="eastAsia" w:ascii="仿宋_GB2312" w:eastAsia="仿宋_GB2312" w:cs="宋体"/>
                <w:b/>
                <w:sz w:val="28"/>
                <w:szCs w:val="28"/>
              </w:rPr>
              <w:t>　</w:t>
            </w: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9</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砌坎</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干砌石坎</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3</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160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田坎等不属补偿范围</w:t>
            </w:r>
          </w:p>
        </w:tc>
      </w:tr>
      <w:tr>
        <w:tblPrEx>
          <w:tblCellMar>
            <w:top w:w="0" w:type="dxa"/>
            <w:left w:w="108" w:type="dxa"/>
            <w:bottom w:w="0" w:type="dxa"/>
            <w:right w:w="108" w:type="dxa"/>
          </w:tblCellMar>
        </w:tblPrEx>
        <w:trPr>
          <w:trHeight w:val="32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浆砌石坎</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200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10</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混凝土涵管</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300mm</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其他直径按此标准类推</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200mm</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70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11</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高压涵管</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300mm</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其他直径按此标准类推</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200mm</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260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53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12</w:t>
            </w:r>
          </w:p>
        </w:tc>
        <w:tc>
          <w:tcPr>
            <w:tcW w:w="1509"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水管</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1寸铁管</w:t>
            </w:r>
          </w:p>
        </w:tc>
        <w:tc>
          <w:tcPr>
            <w:tcW w:w="85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10</w:t>
            </w:r>
          </w:p>
        </w:tc>
        <w:tc>
          <w:tcPr>
            <w:tcW w:w="2474"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其他直径水管参照所列标准类增减</w:t>
            </w: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1.5寸铁管</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2寸铁管</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30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1寸塑料管</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1.5寸塑料管</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6</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0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2寸塑料管</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8</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39" w:hRule="atLeast"/>
        </w:trPr>
        <w:tc>
          <w:tcPr>
            <w:tcW w:w="5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13</w:t>
            </w:r>
          </w:p>
        </w:tc>
        <w:tc>
          <w:tcPr>
            <w:tcW w:w="1509"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生产用房</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p>
        </w:tc>
        <w:tc>
          <w:tcPr>
            <w:tcW w:w="85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2</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100</w:t>
            </w:r>
          </w:p>
        </w:tc>
        <w:tc>
          <w:tcPr>
            <w:tcW w:w="2474"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简易</w:t>
            </w:r>
          </w:p>
        </w:tc>
      </w:tr>
      <w:tr>
        <w:tblPrEx>
          <w:tblCellMar>
            <w:top w:w="0" w:type="dxa"/>
            <w:left w:w="108" w:type="dxa"/>
            <w:bottom w:w="0" w:type="dxa"/>
            <w:right w:w="108" w:type="dxa"/>
          </w:tblCellMar>
        </w:tblPrEx>
        <w:trPr>
          <w:trHeight w:val="354" w:hRule="atLeast"/>
        </w:trPr>
        <w:tc>
          <w:tcPr>
            <w:tcW w:w="5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14</w:t>
            </w:r>
          </w:p>
        </w:tc>
        <w:tc>
          <w:tcPr>
            <w:tcW w:w="1509"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生产用棚</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p>
        </w:tc>
        <w:tc>
          <w:tcPr>
            <w:tcW w:w="85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2</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50</w:t>
            </w:r>
          </w:p>
        </w:tc>
        <w:tc>
          <w:tcPr>
            <w:tcW w:w="2474"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简易</w:t>
            </w:r>
          </w:p>
        </w:tc>
      </w:tr>
      <w:tr>
        <w:tblPrEx>
          <w:tblCellMar>
            <w:top w:w="0" w:type="dxa"/>
            <w:left w:w="108" w:type="dxa"/>
            <w:bottom w:w="0" w:type="dxa"/>
            <w:right w:w="108" w:type="dxa"/>
          </w:tblCellMar>
        </w:tblPrEx>
        <w:trPr>
          <w:trHeight w:val="580" w:hRule="atLeast"/>
        </w:trPr>
        <w:tc>
          <w:tcPr>
            <w:tcW w:w="5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15</w:t>
            </w:r>
          </w:p>
        </w:tc>
        <w:tc>
          <w:tcPr>
            <w:tcW w:w="1509"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eastAsia="仿宋_GB2312" w:cs="宋体"/>
                <w:color w:val="auto"/>
                <w:sz w:val="28"/>
                <w:szCs w:val="28"/>
              </w:rPr>
            </w:pPr>
            <w:r>
              <w:rPr>
                <w:rFonts w:hint="eastAsia" w:ascii="仿宋_GB2312" w:eastAsia="仿宋_GB2312" w:cs="宋体"/>
                <w:color w:val="auto"/>
                <w:sz w:val="28"/>
                <w:szCs w:val="28"/>
              </w:rPr>
              <w:t>室外地面装饰</w:t>
            </w:r>
          </w:p>
        </w:tc>
        <w:tc>
          <w:tcPr>
            <w:tcW w:w="2160" w:type="dxa"/>
            <w:tcBorders>
              <w:top w:val="nil"/>
              <w:left w:val="nil"/>
              <w:bottom w:val="single" w:color="auto" w:sz="4" w:space="0"/>
              <w:right w:val="single" w:color="auto" w:sz="4" w:space="0"/>
            </w:tcBorders>
            <w:noWrap/>
            <w:vAlign w:val="center"/>
          </w:tcPr>
          <w:p>
            <w:pPr>
              <w:widowControl/>
              <w:spacing w:line="260" w:lineRule="exact"/>
              <w:jc w:val="left"/>
              <w:rPr>
                <w:rFonts w:hint="eastAsia" w:ascii="仿宋_GB2312" w:eastAsia="仿宋_GB2312" w:cs="宋体"/>
                <w:color w:val="auto"/>
                <w:sz w:val="28"/>
                <w:szCs w:val="28"/>
              </w:rPr>
            </w:pPr>
            <w:r>
              <w:rPr>
                <w:rFonts w:hint="eastAsia" w:ascii="仿宋_GB2312" w:eastAsia="仿宋_GB2312" w:cs="宋体"/>
                <w:color w:val="auto"/>
                <w:sz w:val="28"/>
                <w:szCs w:val="28"/>
              </w:rPr>
              <w:t>地面混凝土或小石块等砌成</w:t>
            </w:r>
          </w:p>
        </w:tc>
        <w:tc>
          <w:tcPr>
            <w:tcW w:w="85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eastAsia="仿宋_GB2312" w:cs="宋体"/>
                <w:color w:val="auto"/>
                <w:sz w:val="28"/>
                <w:szCs w:val="28"/>
              </w:rPr>
            </w:pPr>
            <w:r>
              <w:rPr>
                <w:rFonts w:hint="eastAsia" w:ascii="仿宋_GB2312" w:eastAsia="仿宋_GB2312" w:cs="宋体"/>
                <w:color w:val="auto"/>
                <w:sz w:val="28"/>
                <w:szCs w:val="28"/>
              </w:rPr>
              <w:t>m</w:t>
            </w:r>
            <w:r>
              <w:rPr>
                <w:rFonts w:hint="eastAsia" w:ascii="仿宋_GB2312" w:eastAsia="仿宋_GB2312" w:cs="宋体"/>
                <w:color w:val="auto"/>
                <w:sz w:val="28"/>
                <w:szCs w:val="28"/>
                <w:vertAlign w:val="superscript"/>
              </w:rPr>
              <w:t>2</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hint="default" w:ascii="仿宋_GB2312" w:eastAsia="仿宋_GB2312" w:cs="宋体"/>
                <w:color w:val="auto"/>
                <w:sz w:val="28"/>
                <w:szCs w:val="28"/>
                <w:lang w:val="en-US" w:eastAsia="zh-CN"/>
              </w:rPr>
            </w:pPr>
            <w:r>
              <w:rPr>
                <w:rFonts w:hint="eastAsia" w:ascii="仿宋_GB2312" w:eastAsia="仿宋_GB2312" w:cs="宋体"/>
                <w:color w:val="auto"/>
                <w:sz w:val="28"/>
                <w:szCs w:val="28"/>
                <w:lang w:val="en-US" w:eastAsia="zh-CN"/>
              </w:rPr>
              <w:t>50</w:t>
            </w:r>
          </w:p>
        </w:tc>
        <w:tc>
          <w:tcPr>
            <w:tcW w:w="2474"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auto"/>
                <w:sz w:val="28"/>
                <w:szCs w:val="28"/>
              </w:rPr>
            </w:pPr>
          </w:p>
        </w:tc>
      </w:tr>
      <w:tr>
        <w:tblPrEx>
          <w:tblCellMar>
            <w:top w:w="0" w:type="dxa"/>
            <w:left w:w="108" w:type="dxa"/>
            <w:bottom w:w="0" w:type="dxa"/>
            <w:right w:w="108" w:type="dxa"/>
          </w:tblCellMar>
        </w:tblPrEx>
        <w:trPr>
          <w:trHeight w:val="309" w:hRule="atLeast"/>
        </w:trPr>
        <w:tc>
          <w:tcPr>
            <w:tcW w:w="5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16</w:t>
            </w:r>
          </w:p>
        </w:tc>
        <w:tc>
          <w:tcPr>
            <w:tcW w:w="1509"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4"/>
              </w:rPr>
            </w:pPr>
            <w:r>
              <w:rPr>
                <w:rFonts w:hint="eastAsia" w:ascii="仿宋_GB2312" w:eastAsia="仿宋_GB2312" w:cs="宋体"/>
                <w:sz w:val="28"/>
                <w:szCs w:val="28"/>
              </w:rPr>
              <w:t>水泥机耕路</w:t>
            </w:r>
          </w:p>
        </w:tc>
        <w:tc>
          <w:tcPr>
            <w:tcW w:w="2160"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p>
        </w:tc>
        <w:tc>
          <w:tcPr>
            <w:tcW w:w="85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m</w:t>
            </w:r>
            <w:r>
              <w:rPr>
                <w:rFonts w:hint="eastAsia" w:ascii="仿宋_GB2312" w:eastAsia="仿宋_GB2312" w:cs="宋体"/>
                <w:sz w:val="28"/>
                <w:szCs w:val="28"/>
                <w:vertAlign w:val="superscript"/>
              </w:rPr>
              <w:t>2</w:t>
            </w:r>
          </w:p>
        </w:tc>
        <w:tc>
          <w:tcPr>
            <w:tcW w:w="1487" w:type="dxa"/>
            <w:tcBorders>
              <w:top w:val="nil"/>
              <w:left w:val="nil"/>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65</w:t>
            </w:r>
          </w:p>
        </w:tc>
        <w:tc>
          <w:tcPr>
            <w:tcW w:w="2474"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sz w:val="28"/>
                <w:szCs w:val="28"/>
              </w:rPr>
            </w:pPr>
            <w:r>
              <w:rPr>
                <w:rFonts w:hint="eastAsia" w:ascii="仿宋_GB2312" w:eastAsia="仿宋_GB2312" w:cs="宋体"/>
                <w:sz w:val="28"/>
                <w:szCs w:val="28"/>
              </w:rPr>
              <w:t>含水泥预制场</w:t>
            </w:r>
          </w:p>
        </w:tc>
      </w:tr>
      <w:tr>
        <w:tblPrEx>
          <w:tblCellMar>
            <w:top w:w="0" w:type="dxa"/>
            <w:left w:w="108" w:type="dxa"/>
            <w:bottom w:w="0" w:type="dxa"/>
            <w:right w:w="108" w:type="dxa"/>
          </w:tblCellMar>
        </w:tblPrEx>
        <w:trPr>
          <w:trHeight w:val="409" w:hRule="atLeast"/>
        </w:trPr>
        <w:tc>
          <w:tcPr>
            <w:tcW w:w="533"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宋体" w:eastAsia="仿宋_GB2312" w:cs="宋体"/>
                <w:sz w:val="28"/>
                <w:szCs w:val="28"/>
              </w:rPr>
            </w:pPr>
          </w:p>
        </w:tc>
        <w:tc>
          <w:tcPr>
            <w:tcW w:w="8483" w:type="dxa"/>
            <w:gridSpan w:val="5"/>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sz w:val="28"/>
                <w:szCs w:val="28"/>
              </w:rPr>
            </w:pPr>
            <w:r>
              <w:rPr>
                <w:rFonts w:hint="eastAsia" w:ascii="仿宋_GB2312" w:eastAsia="仿宋_GB2312" w:cs="宋体"/>
                <w:sz w:val="28"/>
                <w:szCs w:val="28"/>
              </w:rPr>
              <w:t>水坝、水闸由乡镇（街道）根据实际情况补偿</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1440" w:right="1800" w:bottom="1118"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D2"/>
    <w:rsid w:val="006248C0"/>
    <w:rsid w:val="00A6397D"/>
    <w:rsid w:val="00D13ED2"/>
    <w:rsid w:val="066D1D8B"/>
    <w:rsid w:val="07F14D2C"/>
    <w:rsid w:val="111C5177"/>
    <w:rsid w:val="127248A6"/>
    <w:rsid w:val="14C97F77"/>
    <w:rsid w:val="19004642"/>
    <w:rsid w:val="2419701D"/>
    <w:rsid w:val="26455115"/>
    <w:rsid w:val="26981FBA"/>
    <w:rsid w:val="290F58DB"/>
    <w:rsid w:val="2C3C1374"/>
    <w:rsid w:val="2F876460"/>
    <w:rsid w:val="315A5DA6"/>
    <w:rsid w:val="34E0000D"/>
    <w:rsid w:val="3A3D18EE"/>
    <w:rsid w:val="3CF14C92"/>
    <w:rsid w:val="4CFD6329"/>
    <w:rsid w:val="4DCE3985"/>
    <w:rsid w:val="4E3A4A7A"/>
    <w:rsid w:val="55DA739E"/>
    <w:rsid w:val="563C38D1"/>
    <w:rsid w:val="56DE19D5"/>
    <w:rsid w:val="5A411075"/>
    <w:rsid w:val="5AF60791"/>
    <w:rsid w:val="5B420863"/>
    <w:rsid w:val="5E887509"/>
    <w:rsid w:val="645D668E"/>
    <w:rsid w:val="6826636C"/>
    <w:rsid w:val="6D981802"/>
    <w:rsid w:val="716C2566"/>
    <w:rsid w:val="791E2625"/>
    <w:rsid w:val="7E3F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611</Words>
  <Characters>3489</Characters>
  <Lines>29</Lines>
  <Paragraphs>8</Paragraphs>
  <TotalTime>38</TotalTime>
  <ScaleCrop>false</ScaleCrop>
  <LinksUpToDate>false</LinksUpToDate>
  <CharactersWithSpaces>4092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2020-07-23T02:08:00Z</dcterms:created>
  <dc:creator>Administrator</dc:creator>
  <cp:lastModifiedBy>周军芬</cp:lastModifiedBy>
  <cp:lastPrinted>2021-03-15T06:34:00Z</cp:lastPrinted>
  <dcterms:modified xsi:type="dcterms:W3CDTF">2021-03-16T02:11:52Z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