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r>
        <w:rPr>
          <w:rFonts w:hint="eastAsia" w:ascii="黑体" w:hAnsi="黑体" w:eastAsia="黑体" w:cs="黑体"/>
          <w:spacing w:val="15"/>
          <w:sz w:val="32"/>
          <w:szCs w:val="32"/>
        </w:rPr>
        <w:t>附件1：县级部门（单位）预算公开说明样式</w:t>
      </w:r>
    </w:p>
    <w:p>
      <w:pPr>
        <w:spacing w:line="560" w:lineRule="exact"/>
        <w:rPr>
          <w:rFonts w:ascii="仿宋_GB2312" w:eastAsia="仿宋_GB2312"/>
          <w:bCs/>
          <w:spacing w:val="15"/>
          <w:sz w:val="32"/>
          <w:szCs w:val="32"/>
        </w:rPr>
      </w:pPr>
    </w:p>
    <w:p>
      <w:pPr>
        <w:spacing w:line="560" w:lineRule="exact"/>
        <w:jc w:val="center"/>
        <w:rPr>
          <w:rStyle w:val="7"/>
          <w:rFonts w:ascii="创艺简标宋" w:eastAsia="创艺简标宋"/>
          <w:sz w:val="44"/>
          <w:szCs w:val="44"/>
        </w:rPr>
      </w:pPr>
      <w:r>
        <w:rPr>
          <w:rFonts w:hint="eastAsia" w:ascii="方正小标宋简体" w:hAnsi="方正小标宋简体" w:eastAsia="方正小标宋简体" w:cs="方正小标宋简体"/>
          <w:bCs/>
          <w:spacing w:val="15"/>
          <w:sz w:val="44"/>
          <w:szCs w:val="44"/>
        </w:rPr>
        <w:t>青田县</w:t>
      </w:r>
      <w:r>
        <w:rPr>
          <w:rFonts w:hint="eastAsia" w:ascii="方正小标宋简体" w:hAnsi="方正小标宋简体" w:eastAsia="方正小标宋简体" w:cs="方正小标宋简体"/>
          <w:bCs/>
          <w:spacing w:val="15"/>
          <w:sz w:val="44"/>
          <w:szCs w:val="44"/>
          <w:lang w:eastAsia="zh-CN"/>
        </w:rPr>
        <w:t>仁宫乡人民政府</w:t>
      </w:r>
      <w:r>
        <w:rPr>
          <w:rFonts w:hint="eastAsia" w:ascii="方正小标宋简体" w:hAnsi="方正小标宋简体" w:eastAsia="方正小标宋简体" w:cs="方正小标宋简体"/>
          <w:bCs/>
          <w:spacing w:val="15"/>
          <w:sz w:val="44"/>
          <w:szCs w:val="44"/>
        </w:rPr>
        <w:t>2021年部门（单位）预算</w:t>
      </w:r>
    </w:p>
    <w:p>
      <w:pPr>
        <w:spacing w:line="560" w:lineRule="exact"/>
        <w:ind w:firstLine="590" w:firstLineChars="196"/>
        <w:rPr>
          <w:rStyle w:val="7"/>
          <w:color w:val="000000"/>
          <w:sz w:val="30"/>
          <w:szCs w:val="30"/>
        </w:rPr>
      </w:pPr>
    </w:p>
    <w:p>
      <w:pPr>
        <w:spacing w:line="560" w:lineRule="exact"/>
        <w:ind w:firstLine="627" w:firstLineChars="196"/>
        <w:rPr>
          <w:rStyle w:val="7"/>
          <w:rFonts w:ascii="黑体" w:eastAsia="黑体"/>
          <w:b w:val="0"/>
          <w:color w:val="000000"/>
          <w:sz w:val="32"/>
          <w:szCs w:val="32"/>
        </w:rPr>
      </w:pPr>
      <w:r>
        <w:rPr>
          <w:rStyle w:val="7"/>
          <w:rFonts w:hint="eastAsia" w:ascii="黑体" w:eastAsia="黑体"/>
          <w:b w:val="0"/>
          <w:color w:val="000000"/>
          <w:sz w:val="32"/>
          <w:szCs w:val="32"/>
        </w:rPr>
        <w:t>一、青田县</w:t>
      </w:r>
      <w:r>
        <w:rPr>
          <w:rStyle w:val="7"/>
          <w:rFonts w:hint="eastAsia" w:ascii="黑体" w:eastAsia="黑体"/>
          <w:b w:val="0"/>
          <w:color w:val="000000"/>
          <w:sz w:val="32"/>
          <w:szCs w:val="32"/>
          <w:lang w:eastAsia="zh-CN"/>
        </w:rPr>
        <w:t>仁宫乡人民政府</w:t>
      </w:r>
      <w:r>
        <w:rPr>
          <w:rStyle w:val="7"/>
          <w:rFonts w:hint="eastAsia" w:ascii="黑体" w:eastAsia="黑体"/>
          <w:b w:val="0"/>
          <w:color w:val="000000"/>
          <w:sz w:val="32"/>
          <w:szCs w:val="32"/>
        </w:rPr>
        <w:t>概况</w:t>
      </w:r>
    </w:p>
    <w:p>
      <w:pPr>
        <w:spacing w:line="56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（一）主要职能</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rPr>
        <w:t>仁宫乡人民政府人民政府是管理辖区内政治、经济、文化、教育、卫生、计划生育、小城镇建设、社会治安等物质文明和精神文明建设的国家政权机关的基层组织。其主要职责是：</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rPr>
        <w:t>1、宣传贯彻执行党的路线、方针、政策和国家的法律法规；执行本级人民代表大会的决议和上级国家行政机关的决定和命令，发布决定和命令；</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rPr>
        <w:t>2、负责编制实施本行政区域经济社会发展和村镇建设等各项规划；指导农村经济发展，推进农村经济结构调整和增长方式转变，加快社会主义新农村建设；维护经济秩序，营造公平、公正的发展环境；</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rPr>
        <w:t>3、切实抓好教育、科技、文化、卫生、人口和计划生育、体育等工作，大力发展农村社会事业；加强农村基础设施建设、农田水利建设、生态环境建设和各项公益事业建设；加强农业和农村社会化服务体系建设，组织引导农村劳动力转移；切实做好民政事务、就业培训、社会保障、劳动关系协调、救济救助等工作；</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rPr>
        <w:t>4、依法实施法律法规规章赋予的行政执法职能。根据省人民政府规定，实行相对集中行政处罚权，行使安全生产、环境与资源保护、劳动和社会保障、殡葬管理、文化市场、公共卫生、人口和计划生育、食品安全、规划与建设、城乡环境卫生、乡村道路、水政水务等方面的日常监督管理职能；</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rPr>
        <w:t>5、完善对村民委员会和农村集体经济组织的指导，帮助村民委员会制定落实工作制度、村规民约；加强农村土地等承包合同管理，推进村务、财务公开；健全完善村级财务、土地、合同等档案的统一集中管理；加强基层民主建设，推进村民委员会自治；</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rPr>
        <w:t>6、加强乡财政管理；做好经济社会统计和村级财务内审监督工作；建立健全减轻农民负担的监督管理机制；</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rPr>
        <w:t>7、依法保障各类经济组织的合法权益和公民财产权，保障公民的人身权利、民主权利和其他权利，保障少数民族的权利和尊重少数民族的风俗习惯。保障宪法和法律赋予妇女的男女平等、同工同酬和婚姻自由等各项权力。加强社会治安综合治理，强化信访、调解工作，化解农村社会矛盾，维护农村社会稳定；</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rPr>
        <w:t>8、法律、法规、规章规定的其他事项；</w:t>
      </w:r>
    </w:p>
    <w:p>
      <w:pPr>
        <w:spacing w:line="560" w:lineRule="exact"/>
        <w:ind w:firstLine="627" w:firstLineChars="196"/>
        <w:rPr>
          <w:rFonts w:ascii="楷体_GB2312" w:hAnsi="楷体_GB2312" w:eastAsia="楷体_GB2312" w:cs="楷体_GB2312"/>
          <w:b/>
          <w:sz w:val="32"/>
          <w:szCs w:val="32"/>
        </w:rPr>
      </w:pPr>
      <w:r>
        <w:rPr>
          <w:rFonts w:hint="eastAsia" w:ascii="仿宋_GB2312" w:eastAsia="仿宋_GB2312"/>
          <w:bCs/>
          <w:sz w:val="32"/>
          <w:szCs w:val="32"/>
        </w:rPr>
        <w:t>9、承办县委、县政府及其工作部门交办的其他事项。</w:t>
      </w:r>
      <w:r>
        <w:rPr>
          <w:rFonts w:hint="eastAsia" w:ascii="楷体_GB2312" w:hAnsi="楷体_GB2312" w:eastAsia="楷体_GB2312" w:cs="楷体_GB2312"/>
          <w:b/>
          <w:sz w:val="32"/>
          <w:szCs w:val="32"/>
        </w:rPr>
        <w:t>（二）部门（单位）机构设置情况</w:t>
      </w:r>
    </w:p>
    <w:p>
      <w:pPr>
        <w:spacing w:line="560" w:lineRule="exact"/>
        <w:rPr>
          <w:rFonts w:hint="eastAsia" w:ascii="仿宋_GB2312" w:eastAsia="仿宋_GB2312"/>
          <w:bCs/>
          <w:sz w:val="32"/>
          <w:szCs w:val="32"/>
        </w:rPr>
      </w:pPr>
      <w:r>
        <w:rPr>
          <w:rFonts w:hint="eastAsia" w:ascii="仿宋_GB2312" w:eastAsia="仿宋_GB2312"/>
          <w:bCs/>
          <w:sz w:val="32"/>
          <w:szCs w:val="32"/>
        </w:rPr>
        <w:t>从预算单位构成看，青田县仁宫乡人民政府人民政府只有本级预算,无下属单位。</w:t>
      </w:r>
    </w:p>
    <w:p>
      <w:pPr>
        <w:spacing w:line="560" w:lineRule="exact"/>
        <w:rPr>
          <w:rFonts w:ascii="楷体_GB2312" w:hAnsi="楷体_GB2312" w:eastAsia="楷体_GB2312" w:cs="楷体_GB2312"/>
          <w:b/>
          <w:color w:val="000000"/>
          <w:sz w:val="32"/>
          <w:szCs w:val="32"/>
        </w:rPr>
      </w:pPr>
      <w:r>
        <w:rPr>
          <w:rStyle w:val="7"/>
          <w:rFonts w:hint="eastAsia" w:ascii="黑体" w:eastAsia="黑体"/>
          <w:b w:val="0"/>
          <w:color w:val="000000"/>
          <w:sz w:val="32"/>
          <w:szCs w:val="32"/>
        </w:rPr>
        <w:t>二、</w:t>
      </w:r>
      <w:r>
        <w:rPr>
          <w:rStyle w:val="7"/>
          <w:rFonts w:hint="eastAsia" w:ascii="黑体" w:eastAsia="黑体"/>
          <w:b w:val="0"/>
          <w:color w:val="000000"/>
          <w:sz w:val="32"/>
          <w:szCs w:val="32"/>
          <w:lang w:val="en-US" w:eastAsia="zh-CN"/>
        </w:rPr>
        <w:t>仁宫乡人民政府</w:t>
      </w:r>
      <w:r>
        <w:rPr>
          <w:rStyle w:val="7"/>
          <w:rFonts w:hint="eastAsia" w:ascii="黑体" w:eastAsia="黑体"/>
          <w:b w:val="0"/>
          <w:color w:val="000000"/>
          <w:sz w:val="32"/>
          <w:szCs w:val="32"/>
        </w:rPr>
        <w:t>2021年部门（单位）预算安排情况说明</w:t>
      </w:r>
      <w:r>
        <w:rPr>
          <w:rFonts w:hint="eastAsia"/>
          <w:color w:val="000000"/>
          <w:sz w:val="32"/>
          <w:szCs w:val="32"/>
        </w:rPr>
        <w:br w:type="textWrapping"/>
      </w:r>
      <w:r>
        <w:rPr>
          <w:rFonts w:hint="eastAsia" w:ascii="仿宋_GB2312" w:eastAsia="仿宋_GB2312"/>
          <w:color w:val="000000"/>
          <w:sz w:val="30"/>
          <w:szCs w:val="30"/>
        </w:rPr>
        <w:t>　　</w:t>
      </w:r>
      <w:r>
        <w:rPr>
          <w:rFonts w:hint="eastAsia" w:ascii="楷体_GB2312" w:hAnsi="楷体_GB2312" w:eastAsia="楷体_GB2312" w:cs="楷体_GB2312"/>
          <w:b/>
          <w:color w:val="000000"/>
          <w:sz w:val="32"/>
          <w:szCs w:val="32"/>
        </w:rPr>
        <w:t>（一）关于</w:t>
      </w:r>
      <w:r>
        <w:rPr>
          <w:rStyle w:val="7"/>
          <w:rFonts w:hint="eastAsia" w:ascii="楷体_GB2312" w:hAnsi="楷体_GB2312" w:eastAsia="楷体_GB2312" w:cs="楷体_GB2312"/>
          <w:color w:val="000000"/>
          <w:sz w:val="32"/>
          <w:szCs w:val="32"/>
          <w:lang w:eastAsia="zh-CN"/>
        </w:rPr>
        <w:t>仁宫乡人民政府</w:t>
      </w:r>
      <w:r>
        <w:rPr>
          <w:rStyle w:val="7"/>
          <w:rFonts w:hint="eastAsia" w:ascii="楷体_GB2312" w:hAnsi="楷体_GB2312" w:eastAsia="楷体_GB2312" w:cs="楷体_GB2312"/>
          <w:color w:val="000000"/>
          <w:sz w:val="32"/>
          <w:szCs w:val="32"/>
        </w:rPr>
        <w:t>2021年收支预算情况的总体说明</w:t>
      </w:r>
    </w:p>
    <w:p>
      <w:pPr>
        <w:spacing w:line="560" w:lineRule="exact"/>
        <w:rPr>
          <w:rFonts w:hint="eastAsia" w:ascii="仿宋_GB2312" w:eastAsia="仿宋_GB2312"/>
          <w:bCs/>
          <w:color w:val="000000"/>
          <w:sz w:val="32"/>
          <w:szCs w:val="32"/>
        </w:rPr>
      </w:pPr>
      <w:r>
        <w:rPr>
          <w:rFonts w:hint="eastAsia" w:ascii="仿宋_GB2312" w:eastAsia="仿宋_GB2312"/>
          <w:bCs/>
          <w:color w:val="000000"/>
          <w:sz w:val="32"/>
          <w:szCs w:val="32"/>
        </w:rPr>
        <w:t xml:space="preserve"> 按照综合预算的原则，仁宫乡人民政府所有收入和支出均纳入部门预算管理。收入包括：一般公共预算拨款收入；支出包括：一般公共服务支出、社会保障和就业支出、卫生健康支出、农林水支出、住房保障支出。仁宫乡人民政府2020年收支总预算6</w:t>
      </w:r>
      <w:r>
        <w:rPr>
          <w:rFonts w:hint="eastAsia" w:ascii="仿宋_GB2312" w:eastAsia="仿宋_GB2312"/>
          <w:bCs/>
          <w:color w:val="000000"/>
          <w:sz w:val="32"/>
          <w:szCs w:val="32"/>
          <w:lang w:val="en-US" w:eastAsia="zh-CN"/>
        </w:rPr>
        <w:t>76.89</w:t>
      </w:r>
      <w:r>
        <w:rPr>
          <w:rFonts w:hint="eastAsia" w:ascii="仿宋_GB2312" w:eastAsia="仿宋_GB2312"/>
          <w:bCs/>
          <w:color w:val="000000"/>
          <w:sz w:val="32"/>
          <w:szCs w:val="32"/>
        </w:rPr>
        <w:t>万元。</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（二）关于</w:t>
      </w:r>
      <w:r>
        <w:rPr>
          <w:rFonts w:hint="eastAsia" w:ascii="楷体_GB2312" w:hAnsi="楷体_GB2312" w:eastAsia="楷体_GB2312" w:cs="楷体_GB2312"/>
          <w:b/>
          <w:color w:val="000000"/>
          <w:sz w:val="32"/>
          <w:szCs w:val="32"/>
          <w:lang w:eastAsia="zh-CN"/>
        </w:rPr>
        <w:t>仁宫乡人民政府</w:t>
      </w:r>
      <w:r>
        <w:rPr>
          <w:rFonts w:hint="eastAsia" w:ascii="楷体_GB2312" w:hAnsi="楷体_GB2312" w:eastAsia="楷体_GB2312" w:cs="楷体_GB2312"/>
          <w:b/>
          <w:color w:val="000000"/>
          <w:sz w:val="32"/>
          <w:szCs w:val="32"/>
        </w:rPr>
        <w:t>2021年收入预算情况说明</w:t>
      </w:r>
    </w:p>
    <w:p>
      <w:pPr>
        <w:spacing w:line="560" w:lineRule="exact"/>
        <w:ind w:firstLine="642"/>
        <w:rPr>
          <w:rFonts w:hint="eastAsia" w:ascii="仿宋_GB2312" w:eastAsia="仿宋_GB2312"/>
          <w:color w:val="000000"/>
          <w:sz w:val="32"/>
          <w:szCs w:val="32"/>
        </w:rPr>
      </w:pPr>
      <w:r>
        <w:rPr>
          <w:rFonts w:hint="eastAsia" w:ascii="仿宋_GB2312" w:eastAsia="仿宋_GB2312"/>
          <w:color w:val="000000"/>
          <w:sz w:val="32"/>
          <w:szCs w:val="32"/>
          <w:lang w:eastAsia="zh-CN"/>
        </w:rPr>
        <w:t>仁宫乡人民政府</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年收入预算6</w:t>
      </w:r>
      <w:r>
        <w:rPr>
          <w:rFonts w:hint="eastAsia" w:ascii="仿宋_GB2312" w:eastAsia="仿宋_GB2312"/>
          <w:color w:val="000000"/>
          <w:sz w:val="32"/>
          <w:szCs w:val="32"/>
          <w:lang w:val="en-US" w:eastAsia="zh-CN"/>
        </w:rPr>
        <w:t>76.89</w:t>
      </w:r>
      <w:r>
        <w:rPr>
          <w:rFonts w:hint="eastAsia" w:ascii="仿宋_GB2312" w:eastAsia="仿宋_GB2312"/>
          <w:color w:val="000000"/>
          <w:sz w:val="32"/>
          <w:szCs w:val="32"/>
        </w:rPr>
        <w:t>万元，其中：上年结转</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%；一般公共预算拨款收入676.89万元，占</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%；政府性基金收入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%；专户资金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%；事业收入（不含专户资金）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%；事业单位经营收入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%；其他收入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%；上级补助收入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%；附属单位上缴收入</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%；用事业基金弥补收支差额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w:t>
      </w:r>
      <w:r>
        <w:rPr>
          <w:rFonts w:hint="eastAsia" w:ascii="仿宋_GB2312" w:eastAsia="仿宋_GB2312"/>
          <w:color w:val="000000"/>
          <w:sz w:val="32"/>
          <w:szCs w:val="32"/>
        </w:rPr>
        <w:br w:type="textWrapping"/>
      </w:r>
      <w:r>
        <w:rPr>
          <w:rFonts w:hint="eastAsia" w:ascii="楷体_GB2312" w:hAnsi="楷体_GB2312" w:eastAsia="楷体_GB2312" w:cs="楷体_GB2312"/>
          <w:b/>
          <w:color w:val="000000"/>
          <w:sz w:val="32"/>
          <w:szCs w:val="32"/>
        </w:rPr>
        <w:t>　　（三）关于</w:t>
      </w:r>
      <w:r>
        <w:rPr>
          <w:rFonts w:hint="eastAsia" w:ascii="楷体_GB2312" w:hAnsi="楷体_GB2312" w:eastAsia="楷体_GB2312" w:cs="楷体_GB2312"/>
          <w:b/>
          <w:color w:val="000000"/>
          <w:sz w:val="32"/>
          <w:szCs w:val="32"/>
          <w:lang w:eastAsia="zh-CN"/>
        </w:rPr>
        <w:t>仁宫乡人民政府</w:t>
      </w:r>
      <w:r>
        <w:rPr>
          <w:rFonts w:hint="eastAsia" w:ascii="楷体_GB2312" w:hAnsi="楷体_GB2312" w:eastAsia="楷体_GB2312" w:cs="楷体_GB2312"/>
          <w:b/>
          <w:color w:val="000000"/>
          <w:sz w:val="32"/>
          <w:szCs w:val="32"/>
        </w:rPr>
        <w:t>2021年支出预算情况说明</w:t>
      </w:r>
      <w:r>
        <w:rPr>
          <w:rFonts w:hint="eastAsia" w:ascii="仿宋_GB2312" w:eastAsia="仿宋_GB2312"/>
          <w:color w:val="000000"/>
          <w:sz w:val="32"/>
          <w:szCs w:val="32"/>
        </w:rPr>
        <w:br w:type="textWrapping"/>
      </w:r>
      <w:r>
        <w:rPr>
          <w:rFonts w:hint="eastAsia" w:ascii="仿宋_GB2312" w:eastAsia="仿宋_GB2312"/>
          <w:color w:val="000000"/>
          <w:sz w:val="32"/>
          <w:szCs w:val="32"/>
        </w:rPr>
        <w:t>　　仁宫乡人民政府202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年支出预算676.89万元。</w:t>
      </w:r>
    </w:p>
    <w:p>
      <w:pPr>
        <w:spacing w:line="56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1.按支出功能分类，包括一般公共服务支出43</w:t>
      </w:r>
      <w:r>
        <w:rPr>
          <w:rFonts w:hint="eastAsia" w:ascii="仿宋_GB2312" w:eastAsia="仿宋_GB2312"/>
          <w:color w:val="000000"/>
          <w:sz w:val="32"/>
          <w:szCs w:val="32"/>
          <w:lang w:val="en-US" w:eastAsia="zh-CN"/>
        </w:rPr>
        <w:t>9.72</w:t>
      </w:r>
      <w:r>
        <w:rPr>
          <w:rFonts w:hint="eastAsia" w:ascii="仿宋_GB2312" w:eastAsia="仿宋_GB2312"/>
          <w:color w:val="000000"/>
          <w:sz w:val="32"/>
          <w:szCs w:val="32"/>
        </w:rPr>
        <w:t>万元、社会保障和就业支出</w:t>
      </w:r>
      <w:r>
        <w:rPr>
          <w:rFonts w:hint="eastAsia" w:ascii="仿宋_GB2312" w:eastAsia="仿宋_GB2312"/>
          <w:color w:val="000000"/>
          <w:sz w:val="32"/>
          <w:szCs w:val="32"/>
          <w:lang w:val="en-US" w:eastAsia="zh-CN"/>
        </w:rPr>
        <w:t>47.06</w:t>
      </w:r>
      <w:r>
        <w:rPr>
          <w:rFonts w:hint="eastAsia" w:ascii="仿宋_GB2312" w:eastAsia="仿宋_GB2312"/>
          <w:color w:val="000000"/>
          <w:sz w:val="32"/>
          <w:szCs w:val="32"/>
        </w:rPr>
        <w:t>万元、卫生健康支出36.</w:t>
      </w:r>
      <w:r>
        <w:rPr>
          <w:rFonts w:hint="eastAsia" w:ascii="仿宋_GB2312" w:eastAsia="仿宋_GB2312"/>
          <w:color w:val="000000"/>
          <w:sz w:val="32"/>
          <w:szCs w:val="32"/>
          <w:lang w:val="en-US" w:eastAsia="zh-CN"/>
        </w:rPr>
        <w:t>75</w:t>
      </w:r>
      <w:r>
        <w:rPr>
          <w:rFonts w:hint="eastAsia" w:ascii="仿宋_GB2312" w:eastAsia="仿宋_GB2312"/>
          <w:color w:val="000000"/>
          <w:sz w:val="32"/>
          <w:szCs w:val="32"/>
        </w:rPr>
        <w:t>万元、农林水支出</w:t>
      </w:r>
      <w:r>
        <w:rPr>
          <w:rFonts w:hint="eastAsia" w:ascii="仿宋_GB2312" w:eastAsia="仿宋_GB2312"/>
          <w:color w:val="000000"/>
          <w:sz w:val="32"/>
          <w:szCs w:val="32"/>
          <w:lang w:val="en-US" w:eastAsia="zh-CN"/>
        </w:rPr>
        <w:t>109.75</w:t>
      </w:r>
      <w:r>
        <w:rPr>
          <w:rFonts w:hint="eastAsia" w:ascii="仿宋_GB2312" w:eastAsia="仿宋_GB2312"/>
          <w:color w:val="000000"/>
          <w:sz w:val="32"/>
          <w:szCs w:val="32"/>
        </w:rPr>
        <w:t>万元、住房保障支出</w:t>
      </w:r>
      <w:r>
        <w:rPr>
          <w:rFonts w:hint="eastAsia" w:ascii="仿宋_GB2312" w:eastAsia="仿宋_GB2312"/>
          <w:color w:val="000000"/>
          <w:sz w:val="32"/>
          <w:szCs w:val="32"/>
          <w:lang w:val="en-US" w:eastAsia="zh-CN"/>
        </w:rPr>
        <w:t>43.61</w:t>
      </w:r>
      <w:r>
        <w:rPr>
          <w:rFonts w:hint="eastAsia" w:ascii="仿宋_GB2312" w:eastAsia="仿宋_GB2312"/>
          <w:color w:val="000000"/>
          <w:sz w:val="32"/>
          <w:szCs w:val="32"/>
        </w:rPr>
        <w:t>万元。</w:t>
      </w:r>
    </w:p>
    <w:p>
      <w:pPr>
        <w:spacing w:line="56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2.按支出用途分类，包括人员支出</w:t>
      </w:r>
      <w:r>
        <w:rPr>
          <w:rFonts w:hint="eastAsia" w:ascii="仿宋_GB2312" w:eastAsia="仿宋_GB2312"/>
          <w:color w:val="000000"/>
          <w:sz w:val="32"/>
          <w:szCs w:val="32"/>
          <w:lang w:val="en-US" w:eastAsia="zh-CN"/>
        </w:rPr>
        <w:t>556.2</w:t>
      </w:r>
      <w:r>
        <w:rPr>
          <w:rFonts w:hint="eastAsia" w:ascii="仿宋_GB2312" w:eastAsia="仿宋_GB2312"/>
          <w:color w:val="000000"/>
          <w:sz w:val="32"/>
          <w:szCs w:val="32"/>
        </w:rPr>
        <w:t>万元，占82.</w:t>
      </w:r>
      <w:r>
        <w:rPr>
          <w:rFonts w:hint="eastAsia" w:ascii="仿宋_GB2312" w:eastAsia="仿宋_GB2312"/>
          <w:color w:val="000000"/>
          <w:sz w:val="32"/>
          <w:szCs w:val="32"/>
          <w:lang w:val="en-US" w:eastAsia="zh-CN"/>
        </w:rPr>
        <w:t>17</w:t>
      </w:r>
      <w:r>
        <w:rPr>
          <w:rFonts w:hint="eastAsia" w:ascii="仿宋_GB2312" w:eastAsia="仿宋_GB2312"/>
          <w:color w:val="000000"/>
          <w:sz w:val="32"/>
          <w:szCs w:val="32"/>
        </w:rPr>
        <w:t>%；日常公用支出</w:t>
      </w:r>
      <w:r>
        <w:rPr>
          <w:rFonts w:hint="eastAsia" w:ascii="仿宋_GB2312" w:eastAsia="仿宋_GB2312"/>
          <w:color w:val="000000"/>
          <w:sz w:val="32"/>
          <w:szCs w:val="32"/>
          <w:lang w:val="en-US" w:eastAsia="zh-CN"/>
        </w:rPr>
        <w:t>92.39</w:t>
      </w:r>
      <w:r>
        <w:rPr>
          <w:rFonts w:hint="eastAsia" w:ascii="仿宋_GB2312" w:eastAsia="仿宋_GB2312"/>
          <w:color w:val="000000"/>
          <w:sz w:val="32"/>
          <w:szCs w:val="32"/>
        </w:rPr>
        <w:t>万元，占13.</w:t>
      </w:r>
      <w:r>
        <w:rPr>
          <w:rFonts w:hint="eastAsia" w:ascii="仿宋_GB2312" w:eastAsia="仿宋_GB2312"/>
          <w:color w:val="000000"/>
          <w:sz w:val="32"/>
          <w:szCs w:val="32"/>
          <w:lang w:val="en-US" w:eastAsia="zh-CN"/>
        </w:rPr>
        <w:t>65</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28.3</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4.18</w:t>
      </w:r>
      <w:r>
        <w:rPr>
          <w:rFonts w:hint="eastAsia" w:ascii="仿宋_GB2312" w:eastAsia="仿宋_GB2312"/>
          <w:color w:val="000000"/>
          <w:sz w:val="32"/>
          <w:szCs w:val="32"/>
        </w:rPr>
        <w:t>%；事业单位经营支出0万元，占0%；对附属单位补助支出0万元，占0%；上缴上级支出0万元，占0%。</w:t>
      </w:r>
    </w:p>
    <w:p>
      <w:pPr>
        <w:spacing w:line="560" w:lineRule="exact"/>
        <w:ind w:firstLine="642"/>
        <w:rPr>
          <w:rFonts w:ascii="仿宋_GB2312" w:eastAsia="仿宋_GB2312"/>
          <w:color w:val="000000"/>
          <w:sz w:val="32"/>
          <w:szCs w:val="32"/>
        </w:rPr>
      </w:pPr>
      <w:r>
        <w:rPr>
          <w:rFonts w:hint="eastAsia" w:ascii="仿宋_GB2312" w:eastAsia="仿宋_GB2312"/>
          <w:color w:val="000000"/>
          <w:sz w:val="32"/>
          <w:szCs w:val="32"/>
        </w:rPr>
        <w:t>结转下年0万元。</w:t>
      </w:r>
    </w:p>
    <w:p>
      <w:pPr>
        <w:spacing w:line="56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（四）关于</w:t>
      </w:r>
      <w:r>
        <w:rPr>
          <w:rFonts w:hint="eastAsia" w:ascii="楷体_GB2312" w:hAnsi="楷体_GB2312" w:eastAsia="楷体_GB2312" w:cs="楷体_GB2312"/>
          <w:b/>
          <w:color w:val="000000"/>
          <w:sz w:val="32"/>
          <w:szCs w:val="32"/>
          <w:lang w:eastAsia="zh-CN"/>
        </w:rPr>
        <w:t>仁宫乡人民政府</w:t>
      </w:r>
      <w:r>
        <w:rPr>
          <w:rFonts w:hint="eastAsia" w:ascii="楷体_GB2312" w:hAnsi="楷体_GB2312" w:eastAsia="楷体_GB2312" w:cs="楷体_GB2312"/>
          <w:b/>
          <w:color w:val="000000"/>
          <w:sz w:val="32"/>
          <w:szCs w:val="32"/>
        </w:rPr>
        <w:t>2021年财政拨款收支预算情况的总体说明</w:t>
      </w:r>
    </w:p>
    <w:p>
      <w:pPr>
        <w:spacing w:line="56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仁宫乡人民政府2020年财政拨款收支总预算</w:t>
      </w:r>
      <w:r>
        <w:rPr>
          <w:rFonts w:hint="eastAsia" w:ascii="仿宋_GB2312" w:eastAsia="仿宋_GB2312"/>
          <w:color w:val="000000"/>
          <w:sz w:val="32"/>
          <w:szCs w:val="32"/>
          <w:lang w:val="en-US" w:eastAsia="zh-CN"/>
        </w:rPr>
        <w:t>676.89</w:t>
      </w:r>
      <w:r>
        <w:rPr>
          <w:rFonts w:hint="eastAsia" w:ascii="仿宋_GB2312" w:eastAsia="仿宋_GB2312"/>
          <w:color w:val="000000"/>
          <w:sz w:val="32"/>
          <w:szCs w:val="32"/>
          <w:lang w:eastAsia="zh-CN"/>
        </w:rPr>
        <w:t>万元。收入包括：一般公共预算</w:t>
      </w:r>
      <w:r>
        <w:rPr>
          <w:rFonts w:hint="eastAsia" w:ascii="仿宋_GB2312" w:eastAsia="仿宋_GB2312"/>
          <w:color w:val="000000"/>
          <w:sz w:val="32"/>
          <w:szCs w:val="32"/>
          <w:lang w:val="en-US" w:eastAsia="zh-CN"/>
        </w:rPr>
        <w:t>676.89</w:t>
      </w:r>
      <w:r>
        <w:rPr>
          <w:rFonts w:hint="eastAsia" w:ascii="仿宋_GB2312" w:eastAsia="仿宋_GB2312"/>
          <w:color w:val="000000"/>
          <w:sz w:val="32"/>
          <w:szCs w:val="32"/>
          <w:lang w:eastAsia="zh-CN"/>
        </w:rPr>
        <w:t>万元；支出包括：一般公共服务支出</w:t>
      </w:r>
      <w:r>
        <w:rPr>
          <w:rFonts w:hint="eastAsia" w:ascii="仿宋_GB2312" w:eastAsia="仿宋_GB2312"/>
          <w:color w:val="000000"/>
          <w:sz w:val="32"/>
          <w:szCs w:val="32"/>
          <w:lang w:val="en-US" w:eastAsia="zh-CN"/>
        </w:rPr>
        <w:t>439.72</w:t>
      </w:r>
      <w:r>
        <w:rPr>
          <w:rFonts w:hint="eastAsia" w:ascii="仿宋_GB2312" w:eastAsia="仿宋_GB2312"/>
          <w:color w:val="000000"/>
          <w:sz w:val="32"/>
          <w:szCs w:val="32"/>
          <w:lang w:eastAsia="zh-CN"/>
        </w:rPr>
        <w:t>万元、社会保障和就业支出</w:t>
      </w:r>
      <w:r>
        <w:rPr>
          <w:rFonts w:hint="eastAsia" w:ascii="仿宋_GB2312" w:eastAsia="仿宋_GB2312"/>
          <w:color w:val="000000"/>
          <w:sz w:val="32"/>
          <w:szCs w:val="32"/>
          <w:lang w:val="en-US" w:eastAsia="zh-CN"/>
        </w:rPr>
        <w:t>47.06</w:t>
      </w:r>
      <w:r>
        <w:rPr>
          <w:rFonts w:hint="eastAsia" w:ascii="仿宋_GB2312" w:eastAsia="仿宋_GB2312"/>
          <w:color w:val="000000"/>
          <w:sz w:val="32"/>
          <w:szCs w:val="32"/>
          <w:lang w:eastAsia="zh-CN"/>
        </w:rPr>
        <w:t>万元、卫生健康支出36.</w:t>
      </w:r>
      <w:r>
        <w:rPr>
          <w:rFonts w:hint="eastAsia" w:ascii="仿宋_GB2312" w:eastAsia="仿宋_GB2312"/>
          <w:color w:val="000000"/>
          <w:sz w:val="32"/>
          <w:szCs w:val="32"/>
          <w:lang w:val="en-US" w:eastAsia="zh-CN"/>
        </w:rPr>
        <w:t>75</w:t>
      </w:r>
      <w:r>
        <w:rPr>
          <w:rFonts w:hint="eastAsia" w:ascii="仿宋_GB2312" w:eastAsia="仿宋_GB2312"/>
          <w:color w:val="000000"/>
          <w:sz w:val="32"/>
          <w:szCs w:val="32"/>
          <w:lang w:eastAsia="zh-CN"/>
        </w:rPr>
        <w:t>万元、农林水支出</w:t>
      </w:r>
      <w:r>
        <w:rPr>
          <w:rFonts w:hint="eastAsia" w:ascii="仿宋_GB2312" w:eastAsia="仿宋_GB2312"/>
          <w:color w:val="000000"/>
          <w:sz w:val="32"/>
          <w:szCs w:val="32"/>
          <w:lang w:val="en-US" w:eastAsia="zh-CN"/>
        </w:rPr>
        <w:t>109.75</w:t>
      </w:r>
      <w:r>
        <w:rPr>
          <w:rFonts w:hint="eastAsia" w:ascii="仿宋_GB2312" w:eastAsia="仿宋_GB2312"/>
          <w:color w:val="000000"/>
          <w:sz w:val="32"/>
          <w:szCs w:val="32"/>
          <w:lang w:eastAsia="zh-CN"/>
        </w:rPr>
        <w:t>万元、住房保障支出</w:t>
      </w:r>
      <w:r>
        <w:rPr>
          <w:rFonts w:hint="eastAsia" w:ascii="仿宋_GB2312" w:eastAsia="仿宋_GB2312"/>
          <w:color w:val="000000"/>
          <w:sz w:val="32"/>
          <w:szCs w:val="32"/>
          <w:lang w:val="en-US" w:eastAsia="zh-CN"/>
        </w:rPr>
        <w:t>43.61</w:t>
      </w:r>
      <w:r>
        <w:rPr>
          <w:rFonts w:hint="eastAsia" w:ascii="仿宋_GB2312" w:eastAsia="仿宋_GB2312"/>
          <w:color w:val="000000"/>
          <w:sz w:val="32"/>
          <w:szCs w:val="32"/>
          <w:lang w:eastAsia="zh-CN"/>
        </w:rPr>
        <w:t>万元</w:t>
      </w:r>
      <w:r>
        <w:rPr>
          <w:rFonts w:hint="eastAsia" w:ascii="仿宋_GB2312" w:eastAsia="仿宋_GB2312"/>
          <w:color w:val="000000"/>
          <w:sz w:val="32"/>
          <w:szCs w:val="32"/>
        </w:rPr>
        <w:t>。</w:t>
      </w:r>
    </w:p>
    <w:p>
      <w:pPr>
        <w:numPr>
          <w:ilvl w:val="0"/>
          <w:numId w:val="1"/>
        </w:numPr>
        <w:spacing w:line="560" w:lineRule="exact"/>
        <w:ind w:firstLine="64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关于</w:t>
      </w:r>
      <w:r>
        <w:rPr>
          <w:rFonts w:hint="eastAsia" w:ascii="楷体_GB2312" w:hAnsi="楷体_GB2312" w:eastAsia="楷体_GB2312" w:cs="楷体_GB2312"/>
          <w:b/>
          <w:color w:val="000000"/>
          <w:sz w:val="32"/>
          <w:szCs w:val="32"/>
          <w:lang w:eastAsia="zh-CN"/>
        </w:rPr>
        <w:t>仁宫乡人民政府</w:t>
      </w:r>
      <w:r>
        <w:rPr>
          <w:rFonts w:hint="eastAsia" w:ascii="楷体_GB2312" w:hAnsi="楷体_GB2312" w:eastAsia="楷体_GB2312" w:cs="楷体_GB2312"/>
          <w:b/>
          <w:color w:val="000000"/>
          <w:sz w:val="32"/>
          <w:szCs w:val="32"/>
        </w:rPr>
        <w:t>2021年一般公共预算当年拨款情况说明</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1.一般公共预算当年拨款规模变化情况。</w:t>
      </w:r>
    </w:p>
    <w:p>
      <w:pPr>
        <w:spacing w:line="560" w:lineRule="exact"/>
        <w:ind w:firstLine="642"/>
        <w:rPr>
          <w:rFonts w:ascii="仿宋_GB2312" w:eastAsia="仿宋_GB2312"/>
          <w:color w:val="000000"/>
          <w:sz w:val="32"/>
          <w:szCs w:val="32"/>
        </w:rPr>
      </w:pPr>
      <w:r>
        <w:rPr>
          <w:rFonts w:hint="eastAsia" w:ascii="仿宋_GB2312" w:eastAsia="仿宋_GB2312"/>
          <w:color w:val="000000"/>
          <w:sz w:val="32"/>
          <w:szCs w:val="32"/>
          <w:lang w:eastAsia="zh-CN"/>
        </w:rPr>
        <w:t>仁宫乡人民政府</w:t>
      </w:r>
      <w:r>
        <w:rPr>
          <w:rFonts w:hint="eastAsia" w:ascii="仿宋_GB2312" w:eastAsia="仿宋_GB2312"/>
          <w:color w:val="000000"/>
          <w:sz w:val="32"/>
          <w:szCs w:val="32"/>
        </w:rPr>
        <w:t>2021年一般公共预算当年拨款</w:t>
      </w:r>
      <w:r>
        <w:rPr>
          <w:rFonts w:hint="eastAsia" w:ascii="仿宋_GB2312" w:eastAsia="仿宋_GB2312"/>
          <w:color w:val="000000"/>
          <w:sz w:val="32"/>
          <w:szCs w:val="32"/>
          <w:lang w:val="en-US" w:eastAsia="zh-CN"/>
        </w:rPr>
        <w:t>676.89</w:t>
      </w:r>
      <w:r>
        <w:rPr>
          <w:rFonts w:hint="eastAsia" w:ascii="仿宋_GB2312" w:eastAsia="仿宋_GB2312"/>
          <w:color w:val="000000"/>
          <w:sz w:val="32"/>
          <w:szCs w:val="32"/>
        </w:rPr>
        <w:t>万元，比上年执行数增加</w:t>
      </w:r>
      <w:r>
        <w:rPr>
          <w:rFonts w:hint="eastAsia" w:ascii="仿宋_GB2312" w:eastAsia="仿宋_GB2312"/>
          <w:color w:val="000000"/>
          <w:sz w:val="32"/>
          <w:szCs w:val="32"/>
          <w:lang w:val="en-US" w:eastAsia="zh-CN"/>
        </w:rPr>
        <w:t>34.94</w:t>
      </w:r>
      <w:r>
        <w:rPr>
          <w:rFonts w:hint="eastAsia" w:ascii="仿宋_GB2312" w:eastAsia="仿宋_GB2312"/>
          <w:color w:val="000000"/>
          <w:sz w:val="32"/>
          <w:szCs w:val="32"/>
        </w:rPr>
        <w:t>万元，主要是</w:t>
      </w:r>
      <w:r>
        <w:rPr>
          <w:rFonts w:hint="eastAsia" w:ascii="仿宋_GB2312" w:eastAsia="仿宋_GB2312"/>
          <w:color w:val="000000"/>
          <w:sz w:val="32"/>
          <w:szCs w:val="32"/>
          <w:lang w:val="en-US" w:eastAsia="zh-CN"/>
        </w:rPr>
        <w:t>人员增加，工资标准有较小提高</w:t>
      </w:r>
      <w:r>
        <w:rPr>
          <w:rFonts w:hint="eastAsia" w:ascii="仿宋_GB2312" w:eastAsia="仿宋_GB2312"/>
          <w:color w:val="000000"/>
          <w:sz w:val="32"/>
          <w:szCs w:val="32"/>
        </w:rPr>
        <w:t>。</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2.一般公共预算当年拨款结构情况。</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一般公共服务（类）支出</w:t>
      </w:r>
      <w:r>
        <w:rPr>
          <w:rFonts w:hint="eastAsia" w:ascii="仿宋_GB2312" w:eastAsia="仿宋_GB2312"/>
          <w:color w:val="000000"/>
          <w:sz w:val="32"/>
          <w:szCs w:val="32"/>
          <w:lang w:val="en-US" w:eastAsia="zh-CN"/>
        </w:rPr>
        <w:t>439.72</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64.96%</w:t>
      </w:r>
      <w:r>
        <w:rPr>
          <w:rFonts w:hint="eastAsia" w:ascii="仿宋_GB2312" w:eastAsia="仿宋_GB2312"/>
          <w:color w:val="000000"/>
          <w:sz w:val="32"/>
          <w:szCs w:val="32"/>
        </w:rPr>
        <w:t>；社会保障和就业（类）支出</w:t>
      </w:r>
      <w:r>
        <w:rPr>
          <w:rFonts w:hint="eastAsia" w:ascii="仿宋_GB2312" w:eastAsia="仿宋_GB2312"/>
          <w:color w:val="000000"/>
          <w:sz w:val="32"/>
          <w:szCs w:val="32"/>
          <w:lang w:val="en-US" w:eastAsia="zh-CN"/>
        </w:rPr>
        <w:t>47.06</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6.95</w:t>
      </w:r>
      <w:r>
        <w:rPr>
          <w:rFonts w:hint="eastAsia" w:ascii="仿宋_GB2312" w:eastAsia="仿宋_GB2312"/>
          <w:color w:val="000000"/>
          <w:sz w:val="32"/>
          <w:szCs w:val="32"/>
        </w:rPr>
        <w:t>%；卫生健康（类）支出36.</w:t>
      </w:r>
      <w:r>
        <w:rPr>
          <w:rFonts w:hint="eastAsia" w:ascii="仿宋_GB2312" w:eastAsia="仿宋_GB2312"/>
          <w:color w:val="000000"/>
          <w:sz w:val="32"/>
          <w:szCs w:val="32"/>
          <w:lang w:val="en-US" w:eastAsia="zh-CN"/>
        </w:rPr>
        <w:t>75</w:t>
      </w:r>
      <w:r>
        <w:rPr>
          <w:rFonts w:hint="eastAsia" w:ascii="仿宋_GB2312" w:eastAsia="仿宋_GB2312"/>
          <w:color w:val="000000"/>
          <w:sz w:val="32"/>
          <w:szCs w:val="32"/>
        </w:rPr>
        <w:t>万元，占5.</w:t>
      </w:r>
      <w:r>
        <w:rPr>
          <w:rFonts w:hint="eastAsia" w:ascii="仿宋_GB2312" w:eastAsia="仿宋_GB2312"/>
          <w:color w:val="000000"/>
          <w:sz w:val="32"/>
          <w:szCs w:val="32"/>
          <w:lang w:val="en-US" w:eastAsia="zh-CN"/>
        </w:rPr>
        <w:t>43</w:t>
      </w:r>
      <w:r>
        <w:rPr>
          <w:rFonts w:hint="eastAsia" w:ascii="仿宋_GB2312" w:eastAsia="仿宋_GB2312"/>
          <w:color w:val="000000"/>
          <w:sz w:val="32"/>
          <w:szCs w:val="32"/>
        </w:rPr>
        <w:t>%；农林水（类）支出</w:t>
      </w:r>
      <w:r>
        <w:rPr>
          <w:rFonts w:hint="eastAsia" w:ascii="仿宋_GB2312" w:eastAsia="仿宋_GB2312"/>
          <w:color w:val="000000"/>
          <w:sz w:val="32"/>
          <w:szCs w:val="32"/>
          <w:lang w:val="en-US" w:eastAsia="zh-CN"/>
        </w:rPr>
        <w:t>109.75</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16.21</w:t>
      </w:r>
      <w:r>
        <w:rPr>
          <w:rFonts w:hint="eastAsia" w:ascii="仿宋_GB2312" w:eastAsia="仿宋_GB2312"/>
          <w:color w:val="000000"/>
          <w:sz w:val="32"/>
          <w:szCs w:val="32"/>
        </w:rPr>
        <w:t>%；住房保障（类）支出</w:t>
      </w:r>
      <w:r>
        <w:rPr>
          <w:rFonts w:hint="eastAsia" w:ascii="仿宋_GB2312" w:eastAsia="仿宋_GB2312"/>
          <w:color w:val="000000"/>
          <w:sz w:val="32"/>
          <w:szCs w:val="32"/>
          <w:lang w:val="en-US" w:eastAsia="zh-CN"/>
        </w:rPr>
        <w:t>43.61</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6.45</w:t>
      </w:r>
      <w:r>
        <w:rPr>
          <w:rFonts w:hint="eastAsia" w:ascii="仿宋_GB2312" w:eastAsia="仿宋_GB2312"/>
          <w:color w:val="000000"/>
          <w:sz w:val="32"/>
          <w:szCs w:val="32"/>
        </w:rPr>
        <w:t>%。</w:t>
      </w:r>
    </w:p>
    <w:p>
      <w:pPr>
        <w:spacing w:line="560" w:lineRule="exact"/>
        <w:ind w:firstLine="321" w:firstLineChars="100"/>
        <w:rPr>
          <w:rFonts w:ascii="仿宋_GB2312" w:eastAsia="仿宋_GB2312"/>
          <w:color w:val="000000"/>
          <w:sz w:val="32"/>
          <w:szCs w:val="32"/>
        </w:rPr>
      </w:pPr>
      <w:r>
        <w:rPr>
          <w:rFonts w:hint="eastAsia" w:ascii="楷体_GB2312" w:hAnsi="楷体_GB2312" w:eastAsia="楷体_GB2312" w:cs="楷体_GB2312"/>
          <w:b/>
          <w:color w:val="000000"/>
          <w:sz w:val="32"/>
          <w:szCs w:val="32"/>
        </w:rPr>
        <w:t xml:space="preserve">  3.一般公共预算当年拨款具体使用情况。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1．一般公共服务支出（类）政府办公厅及相关机构（款）行政运行（项）4</w:t>
      </w:r>
      <w:r>
        <w:rPr>
          <w:rFonts w:hint="eastAsia" w:ascii="仿宋_GB2312" w:eastAsia="仿宋_GB2312"/>
          <w:color w:val="000000"/>
          <w:sz w:val="32"/>
          <w:szCs w:val="32"/>
          <w:lang w:val="en-US" w:eastAsia="zh-CN"/>
        </w:rPr>
        <w:t>05.98</w:t>
      </w:r>
      <w:r>
        <w:rPr>
          <w:rFonts w:hint="eastAsia" w:ascii="仿宋_GB2312" w:eastAsia="仿宋_GB2312"/>
          <w:color w:val="000000"/>
          <w:sz w:val="32"/>
          <w:szCs w:val="32"/>
        </w:rPr>
        <w:t>万元，主要用于乡本级及下属行政事业单位工作人员工资、一般公用及车辆运行等费用。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2．一般公共服务支出（类）政府办公厅及相关机构（款）一般行政管理事务（项）</w:t>
      </w:r>
      <w:r>
        <w:rPr>
          <w:rFonts w:hint="eastAsia" w:ascii="仿宋_GB2312" w:eastAsia="仿宋_GB2312"/>
          <w:color w:val="000000"/>
          <w:sz w:val="32"/>
          <w:szCs w:val="32"/>
          <w:lang w:val="en-US" w:eastAsia="zh-CN"/>
        </w:rPr>
        <w:t>33.74</w:t>
      </w:r>
      <w:r>
        <w:rPr>
          <w:rFonts w:hint="eastAsia" w:ascii="仿宋_GB2312" w:eastAsia="仿宋_GB2312"/>
          <w:color w:val="000000"/>
          <w:sz w:val="32"/>
          <w:szCs w:val="32"/>
        </w:rPr>
        <w:t>万元，主要用于行使工作职能所产生的各项业务经费。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3．医疗卫生（类）医疗保障（款）行政单位医疗（项）</w:t>
      </w:r>
      <w:r>
        <w:rPr>
          <w:rFonts w:hint="eastAsia" w:ascii="仿宋_GB2312" w:eastAsia="仿宋_GB2312"/>
          <w:color w:val="000000"/>
          <w:sz w:val="32"/>
          <w:szCs w:val="32"/>
          <w:lang w:val="en-US" w:eastAsia="zh-CN"/>
        </w:rPr>
        <w:t>36.75</w:t>
      </w:r>
      <w:r>
        <w:rPr>
          <w:rFonts w:hint="eastAsia" w:ascii="仿宋_GB2312" w:eastAsia="仿宋_GB2312"/>
          <w:color w:val="000000"/>
          <w:sz w:val="32"/>
          <w:szCs w:val="32"/>
        </w:rPr>
        <w:t>万元，主要用于乡本级及下属行政事业单位按照国家规定标准为职工缴纳的基本医疗保险费用方面的支出。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4. 农林水支出（类）农业（款）农业事业运行（项）</w:t>
      </w:r>
      <w:r>
        <w:rPr>
          <w:rFonts w:hint="eastAsia" w:ascii="仿宋_GB2312" w:eastAsia="仿宋_GB2312"/>
          <w:color w:val="000000"/>
          <w:sz w:val="32"/>
          <w:szCs w:val="32"/>
          <w:lang w:val="en-US" w:eastAsia="zh-CN"/>
        </w:rPr>
        <w:t>109.75</w:t>
      </w:r>
      <w:r>
        <w:rPr>
          <w:rFonts w:hint="eastAsia" w:ascii="仿宋_GB2312" w:eastAsia="仿宋_GB2312"/>
          <w:color w:val="000000"/>
          <w:sz w:val="32"/>
          <w:szCs w:val="32"/>
        </w:rPr>
        <w:t>万元，主要用于乡农林水工作经费。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5.住房保障支出（类）住房改革支出（款）住房公积金（项）</w:t>
      </w:r>
      <w:r>
        <w:rPr>
          <w:rFonts w:hint="eastAsia" w:ascii="仿宋_GB2312" w:eastAsia="仿宋_GB2312"/>
          <w:color w:val="000000"/>
          <w:sz w:val="32"/>
          <w:szCs w:val="32"/>
          <w:lang w:val="en-US" w:eastAsia="zh-CN"/>
        </w:rPr>
        <w:t>43.61</w:t>
      </w:r>
      <w:r>
        <w:rPr>
          <w:rFonts w:hint="eastAsia" w:ascii="仿宋_GB2312" w:eastAsia="仿宋_GB2312"/>
          <w:color w:val="000000"/>
          <w:sz w:val="32"/>
          <w:szCs w:val="32"/>
        </w:rPr>
        <w:t>万元，主要用于乡本级及下属行政事业单位按照国家规定标准为职工缴纳的住房公积金的支出。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6.社会保障和就业支出</w:t>
      </w:r>
      <w:r>
        <w:rPr>
          <w:rFonts w:hint="eastAsia" w:ascii="仿宋_GB2312" w:eastAsia="仿宋_GB2312"/>
          <w:color w:val="000000"/>
          <w:sz w:val="32"/>
          <w:szCs w:val="32"/>
          <w:lang w:val="en-US" w:eastAsia="zh-CN"/>
        </w:rPr>
        <w:t>47.06</w:t>
      </w:r>
      <w:r>
        <w:rPr>
          <w:rFonts w:hint="eastAsia" w:ascii="仿宋_GB2312" w:eastAsia="仿宋_GB2312"/>
          <w:color w:val="000000"/>
          <w:sz w:val="32"/>
          <w:szCs w:val="32"/>
        </w:rPr>
        <w:t>万元，主要用乡干部养老、职业年金等社保支出</w:t>
      </w:r>
    </w:p>
    <w:p>
      <w:pPr>
        <w:spacing w:line="560" w:lineRule="exact"/>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 xml:space="preserve">    （六）关于</w:t>
      </w:r>
      <w:r>
        <w:rPr>
          <w:rFonts w:hint="eastAsia" w:ascii="楷体_GB2312" w:hAnsi="楷体_GB2312" w:eastAsia="楷体_GB2312" w:cs="楷体_GB2312"/>
          <w:b/>
          <w:color w:val="000000"/>
          <w:sz w:val="32"/>
          <w:szCs w:val="32"/>
          <w:lang w:eastAsia="zh-CN"/>
        </w:rPr>
        <w:t>仁宫乡人民政府</w:t>
      </w:r>
      <w:r>
        <w:rPr>
          <w:rFonts w:hint="eastAsia" w:ascii="楷体_GB2312" w:hAnsi="楷体_GB2312" w:eastAsia="楷体_GB2312" w:cs="楷体_GB2312"/>
          <w:b/>
          <w:color w:val="000000"/>
          <w:sz w:val="32"/>
          <w:szCs w:val="32"/>
        </w:rPr>
        <w:t>2021年一般公共预算基本支出情况说明</w:t>
      </w:r>
    </w:p>
    <w:p>
      <w:pPr>
        <w:spacing w:line="560" w:lineRule="exact"/>
        <w:ind w:firstLine="642"/>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仁宫乡人民政府202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年一般公共预算基本支出</w:t>
      </w:r>
      <w:r>
        <w:rPr>
          <w:rFonts w:hint="eastAsia" w:ascii="仿宋_GB2312" w:eastAsia="仿宋_GB2312"/>
          <w:color w:val="000000"/>
          <w:sz w:val="32"/>
          <w:szCs w:val="32"/>
          <w:lang w:val="en-US" w:eastAsia="zh-CN"/>
        </w:rPr>
        <w:t>676.89</w:t>
      </w:r>
      <w:r>
        <w:rPr>
          <w:rFonts w:hint="eastAsia" w:ascii="仿宋_GB2312" w:eastAsia="仿宋_GB2312"/>
          <w:color w:val="000000"/>
          <w:sz w:val="32"/>
          <w:szCs w:val="32"/>
          <w:lang w:eastAsia="zh-CN"/>
        </w:rPr>
        <w:t>万元，其中：</w:t>
      </w:r>
    </w:p>
    <w:p>
      <w:pPr>
        <w:spacing w:line="560" w:lineRule="exact"/>
        <w:ind w:firstLine="642"/>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人员经费</w:t>
      </w:r>
      <w:r>
        <w:rPr>
          <w:rFonts w:hint="eastAsia" w:ascii="仿宋_GB2312" w:eastAsia="仿宋_GB2312"/>
          <w:color w:val="000000"/>
          <w:sz w:val="32"/>
          <w:szCs w:val="32"/>
          <w:lang w:val="en-US" w:eastAsia="zh-CN"/>
        </w:rPr>
        <w:t>556.2</w:t>
      </w:r>
      <w:r>
        <w:rPr>
          <w:rFonts w:hint="eastAsia" w:ascii="仿宋_GB2312" w:eastAsia="仿宋_GB2312"/>
          <w:color w:val="000000"/>
          <w:sz w:val="32"/>
          <w:szCs w:val="32"/>
          <w:lang w:eastAsia="zh-CN"/>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助学金、奖励金、其他对个人和家庭的补助；</w:t>
      </w:r>
    </w:p>
    <w:p>
      <w:pPr>
        <w:spacing w:line="560" w:lineRule="exact"/>
        <w:ind w:firstLine="642"/>
        <w:rPr>
          <w:rFonts w:ascii="仿宋_GB2312" w:eastAsia="仿宋_GB2312"/>
          <w:color w:val="000000"/>
          <w:sz w:val="32"/>
          <w:szCs w:val="32"/>
        </w:rPr>
      </w:pPr>
      <w:r>
        <w:rPr>
          <w:rFonts w:hint="eastAsia" w:ascii="仿宋_GB2312" w:eastAsia="仿宋_GB2312"/>
          <w:color w:val="000000"/>
          <w:sz w:val="32"/>
          <w:szCs w:val="32"/>
          <w:lang w:eastAsia="zh-CN"/>
        </w:rPr>
        <w:t>公用经费</w:t>
      </w:r>
      <w:r>
        <w:rPr>
          <w:rFonts w:hint="eastAsia" w:ascii="仿宋_GB2312" w:eastAsia="仿宋_GB2312"/>
          <w:color w:val="000000"/>
          <w:sz w:val="32"/>
          <w:szCs w:val="32"/>
          <w:lang w:val="en-US" w:eastAsia="zh-CN"/>
        </w:rPr>
        <w:t>92.39</w:t>
      </w:r>
      <w:r>
        <w:rPr>
          <w:rFonts w:hint="eastAsia" w:ascii="仿宋_GB2312" w:eastAsia="仿宋_GB2312"/>
          <w:color w:val="000000"/>
          <w:sz w:val="32"/>
          <w:szCs w:val="32"/>
          <w:lang w:eastAsia="zh-CN"/>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办公设备购置</w:t>
      </w:r>
      <w:r>
        <w:rPr>
          <w:rFonts w:hint="eastAsia" w:ascii="仿宋_GB2312" w:eastAsia="仿宋_GB2312"/>
          <w:color w:val="000000"/>
          <w:sz w:val="32"/>
          <w:szCs w:val="32"/>
        </w:rPr>
        <w:t>。</w:t>
      </w:r>
    </w:p>
    <w:p>
      <w:pPr>
        <w:spacing w:line="560" w:lineRule="exact"/>
        <w:ind w:firstLine="642"/>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（七）关于</w:t>
      </w:r>
      <w:r>
        <w:rPr>
          <w:rFonts w:hint="eastAsia" w:ascii="楷体_GB2312" w:hAnsi="楷体_GB2312" w:eastAsia="楷体_GB2312" w:cs="楷体_GB2312"/>
          <w:b/>
          <w:color w:val="000000"/>
          <w:sz w:val="32"/>
          <w:szCs w:val="32"/>
          <w:lang w:eastAsia="zh-CN"/>
        </w:rPr>
        <w:t>仁宫乡人民政府</w:t>
      </w:r>
      <w:r>
        <w:rPr>
          <w:rFonts w:hint="eastAsia" w:ascii="楷体_GB2312" w:hAnsi="楷体_GB2312" w:eastAsia="楷体_GB2312" w:cs="楷体_GB2312"/>
          <w:b/>
          <w:color w:val="000000"/>
          <w:sz w:val="32"/>
          <w:szCs w:val="32"/>
        </w:rPr>
        <w:t>2021年政府性基金预算支出情况说明</w:t>
      </w:r>
    </w:p>
    <w:p>
      <w:pPr>
        <w:spacing w:line="560" w:lineRule="exact"/>
        <w:ind w:left="477" w:leftChars="227"/>
        <w:rPr>
          <w:rFonts w:ascii="仿宋_GB2312" w:eastAsia="仿宋_GB2312"/>
          <w:color w:val="000000"/>
          <w:sz w:val="32"/>
          <w:szCs w:val="32"/>
        </w:rPr>
      </w:pPr>
      <w:r>
        <w:rPr>
          <w:rFonts w:hint="eastAsia" w:ascii="仿宋_GB2312" w:eastAsia="仿宋_GB2312"/>
          <w:color w:val="000000"/>
          <w:sz w:val="32"/>
          <w:szCs w:val="32"/>
        </w:rPr>
        <w:t>仁宫乡人民政府2020年没有使用政府性基金预算拨款安排的支出</w:t>
      </w:r>
    </w:p>
    <w:p>
      <w:pPr>
        <w:spacing w:line="560" w:lineRule="exact"/>
        <w:ind w:firstLine="630" w:firstLineChars="196"/>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（八）关于</w:t>
      </w:r>
      <w:r>
        <w:rPr>
          <w:rFonts w:hint="eastAsia" w:ascii="楷体_GB2312" w:hAnsi="楷体_GB2312" w:eastAsia="楷体_GB2312" w:cs="楷体_GB2312"/>
          <w:b/>
          <w:color w:val="000000"/>
          <w:sz w:val="32"/>
          <w:szCs w:val="32"/>
          <w:lang w:eastAsia="zh-CN"/>
        </w:rPr>
        <w:t>仁宫乡人民政府</w:t>
      </w:r>
      <w:r>
        <w:rPr>
          <w:rFonts w:hint="eastAsia" w:ascii="楷体_GB2312" w:hAnsi="楷体_GB2312" w:eastAsia="楷体_GB2312" w:cs="楷体_GB2312"/>
          <w:b/>
          <w:color w:val="000000"/>
          <w:sz w:val="32"/>
          <w:szCs w:val="32"/>
        </w:rPr>
        <w:t>2021年</w:t>
      </w:r>
      <w:r>
        <w:rPr>
          <w:rFonts w:hint="eastAsia" w:ascii="楷体_GB2312" w:hAnsi="楷体_GB2312" w:eastAsia="楷体_GB2312" w:cs="楷体_GB2312"/>
          <w:b/>
          <w:sz w:val="32"/>
          <w:szCs w:val="32"/>
        </w:rPr>
        <w:t>一般公共预算</w:t>
      </w:r>
      <w:r>
        <w:rPr>
          <w:rFonts w:hint="eastAsia" w:ascii="楷体_GB2312" w:hAnsi="楷体_GB2312" w:eastAsia="楷体_GB2312" w:cs="楷体_GB2312"/>
          <w:b/>
          <w:color w:val="000000"/>
          <w:sz w:val="32"/>
          <w:szCs w:val="32"/>
        </w:rPr>
        <w:t>“三公”经费预算情况说明</w:t>
      </w:r>
    </w:p>
    <w:p>
      <w:pPr>
        <w:pStyle w:val="15"/>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仁宫乡人民政府202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年“三公”经费预算数为7.7万元，比20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lang w:eastAsia="zh-CN"/>
        </w:rPr>
        <w:t>年执行数增加（减少）0万元，增长(下降)0%，具体如下：</w:t>
      </w:r>
    </w:p>
    <w:p>
      <w:pPr>
        <w:pStyle w:val="15"/>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1.因公出国（境）费用：根据省外事侨务办安排的因公出国计划和实际工作需要，202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年安排因公出国（境）费用预算0万元，比上年执行数增长0%，与上年持平。</w:t>
      </w:r>
    </w:p>
    <w:p>
      <w:pPr>
        <w:pStyle w:val="15"/>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 xml:space="preserve">    2.公务接待费：202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年安排公务接待费预算4.7万元，比上年执行数增长（下降）0%。主要用于公务接待等支出。</w:t>
      </w:r>
    </w:p>
    <w:p>
      <w:pPr>
        <w:pStyle w:val="15"/>
        <w:spacing w:line="560" w:lineRule="exact"/>
        <w:ind w:firstLine="640" w:firstLineChars="200"/>
        <w:rPr>
          <w:rFonts w:ascii="仿宋_GB2312" w:eastAsia="仿宋_GB2312"/>
          <w:b/>
          <w:bCs/>
          <w:sz w:val="32"/>
          <w:szCs w:val="32"/>
        </w:rPr>
      </w:pPr>
      <w:r>
        <w:rPr>
          <w:rFonts w:hint="eastAsia" w:ascii="仿宋_GB2312" w:eastAsia="仿宋_GB2312"/>
          <w:color w:val="000000"/>
          <w:sz w:val="32"/>
          <w:szCs w:val="32"/>
          <w:lang w:eastAsia="zh-CN"/>
        </w:rPr>
        <w:t>3.公务用车购置及运行维护费：202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安排公务用车购置及运行维护费预算3万元，比上年执行数增长（下降）0%。其中，公务用车运行维护费支出3万元，主要用于乡政府所需的公务用车燃料费、维修费、过桥过路费、保险费、安全奖励费用等支出。</w:t>
      </w:r>
    </w:p>
    <w:p>
      <w:pPr>
        <w:spacing w:line="560" w:lineRule="exact"/>
        <w:ind w:firstLine="630" w:firstLineChars="196"/>
        <w:rPr>
          <w:rFonts w:ascii="楷体_GB2312" w:hAnsi="楷体_GB2312" w:eastAsia="楷体_GB2312" w:cs="楷体_GB2312"/>
          <w:b/>
          <w:sz w:val="32"/>
          <w:szCs w:val="32"/>
        </w:rPr>
      </w:pPr>
      <w:r>
        <w:rPr>
          <w:rFonts w:hint="eastAsia" w:ascii="楷体_GB2312" w:hAnsi="楷体_GB2312" w:eastAsia="楷体_GB2312" w:cs="楷体_GB2312"/>
          <w:b/>
          <w:sz w:val="32"/>
          <w:szCs w:val="32"/>
        </w:rPr>
        <w:t>（九）其他重要事项的情况说明</w:t>
      </w:r>
    </w:p>
    <w:p>
      <w:pPr>
        <w:pStyle w:val="15"/>
        <w:spacing w:line="560" w:lineRule="exact"/>
        <w:ind w:firstLine="600"/>
        <w:rPr>
          <w:rFonts w:ascii="仿宋_GB2312" w:eastAsia="仿宋_GB2312"/>
          <w:b/>
          <w:bCs/>
          <w:sz w:val="32"/>
          <w:szCs w:val="32"/>
        </w:rPr>
      </w:pPr>
      <w:r>
        <w:rPr>
          <w:rFonts w:hint="eastAsia" w:ascii="仿宋_GB2312" w:eastAsia="仿宋_GB2312"/>
          <w:b/>
          <w:bCs/>
          <w:sz w:val="32"/>
          <w:szCs w:val="32"/>
        </w:rPr>
        <w:t>1.机关运行经费（行政参公单位填写，事业单位请删除）</w:t>
      </w:r>
    </w:p>
    <w:p>
      <w:pPr>
        <w:pStyle w:val="15"/>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年仁宫乡人民政府人民政府本级机关运行经费财政拨款预算</w:t>
      </w:r>
      <w:r>
        <w:rPr>
          <w:rFonts w:hint="eastAsia" w:ascii="仿宋_GB2312" w:eastAsia="仿宋_GB2312"/>
          <w:sz w:val="32"/>
          <w:szCs w:val="32"/>
          <w:lang w:val="en-US" w:eastAsia="zh-CN"/>
        </w:rPr>
        <w:t>92.39</w:t>
      </w:r>
      <w:r>
        <w:rPr>
          <w:rFonts w:hint="eastAsia" w:ascii="仿宋_GB2312" w:eastAsia="仿宋_GB2312"/>
          <w:sz w:val="32"/>
          <w:szCs w:val="32"/>
        </w:rPr>
        <w:t>万元，比20</w:t>
      </w:r>
      <w:r>
        <w:rPr>
          <w:rFonts w:hint="eastAsia" w:ascii="仿宋_GB2312" w:eastAsia="仿宋_GB2312"/>
          <w:sz w:val="32"/>
          <w:szCs w:val="32"/>
          <w:lang w:val="en-US" w:eastAsia="zh-CN"/>
        </w:rPr>
        <w:t>20</w:t>
      </w:r>
      <w:r>
        <w:rPr>
          <w:rFonts w:hint="eastAsia" w:ascii="仿宋_GB2312" w:eastAsia="仿宋_GB2312"/>
          <w:sz w:val="32"/>
          <w:szCs w:val="32"/>
        </w:rPr>
        <w:t>年预算增加</w:t>
      </w:r>
      <w:r>
        <w:rPr>
          <w:rFonts w:hint="eastAsia" w:ascii="仿宋_GB2312" w:eastAsia="仿宋_GB2312"/>
          <w:sz w:val="32"/>
          <w:szCs w:val="32"/>
          <w:lang w:val="en-US" w:eastAsia="zh-CN"/>
        </w:rPr>
        <w:t>3.65</w:t>
      </w:r>
      <w:r>
        <w:rPr>
          <w:rFonts w:hint="eastAsia" w:ascii="仿宋_GB2312" w:eastAsia="仿宋_GB2312"/>
          <w:sz w:val="32"/>
          <w:szCs w:val="32"/>
        </w:rPr>
        <w:t>万元，增长</w:t>
      </w:r>
      <w:r>
        <w:rPr>
          <w:rFonts w:hint="eastAsia" w:ascii="仿宋_GB2312" w:eastAsia="仿宋_GB2312"/>
          <w:sz w:val="32"/>
          <w:szCs w:val="32"/>
          <w:lang w:val="en-US" w:eastAsia="zh-CN"/>
        </w:rPr>
        <w:t>4.1</w:t>
      </w:r>
      <w:r>
        <w:rPr>
          <w:rFonts w:hint="eastAsia" w:ascii="仿宋_GB2312" w:eastAsia="仿宋_GB2312"/>
          <w:sz w:val="32"/>
          <w:szCs w:val="32"/>
        </w:rPr>
        <w:t>%，主要是</w:t>
      </w:r>
      <w:r>
        <w:rPr>
          <w:rFonts w:hint="eastAsia" w:ascii="仿宋_GB2312" w:eastAsia="仿宋_GB2312"/>
          <w:sz w:val="32"/>
          <w:szCs w:val="32"/>
          <w:lang w:val="en-US" w:eastAsia="zh-CN"/>
        </w:rPr>
        <w:t>人员增加</w:t>
      </w:r>
      <w:r>
        <w:rPr>
          <w:rFonts w:hint="eastAsia" w:ascii="仿宋_GB2312" w:eastAsia="仿宋_GB2312"/>
          <w:color w:val="000000"/>
          <w:sz w:val="32"/>
          <w:szCs w:val="32"/>
        </w:rPr>
        <w:t>。</w:t>
      </w:r>
    </w:p>
    <w:p>
      <w:pPr>
        <w:pStyle w:val="15"/>
        <w:numPr>
          <w:ilvl w:val="0"/>
          <w:numId w:val="2"/>
        </w:numPr>
        <w:spacing w:line="56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5"/>
        <w:spacing w:line="560" w:lineRule="exact"/>
        <w:ind w:firstLine="642"/>
        <w:rPr>
          <w:rFonts w:hint="eastAsia" w:ascii="仿宋_GB2312" w:eastAsia="仿宋_GB2312"/>
          <w:sz w:val="32"/>
          <w:szCs w:val="32"/>
          <w:lang w:val="en-US" w:eastAsia="zh-CN"/>
        </w:rPr>
      </w:pPr>
      <w:r>
        <w:rPr>
          <w:rFonts w:hint="eastAsia" w:ascii="仿宋_GB2312" w:eastAsia="仿宋_GB2312"/>
          <w:sz w:val="32"/>
          <w:szCs w:val="32"/>
          <w:lang w:val="en-US" w:eastAsia="zh-CN"/>
        </w:rPr>
        <w:t>无</w:t>
      </w:r>
    </w:p>
    <w:p>
      <w:pPr>
        <w:pStyle w:val="15"/>
        <w:spacing w:line="56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pStyle w:val="15"/>
        <w:keepNext w:val="0"/>
        <w:keepLines w:val="0"/>
        <w:pageBreakBefore w:val="0"/>
        <w:widowControl/>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pacing w:val="6"/>
          <w:sz w:val="32"/>
          <w:szCs w:val="32"/>
        </w:rPr>
        <w:t>截至20</w:t>
      </w:r>
      <w:r>
        <w:rPr>
          <w:rFonts w:hint="eastAsia" w:ascii="仿宋_GB2312" w:hAnsi="仿宋_GB2312" w:eastAsia="仿宋_GB2312" w:cs="仿宋_GB2312"/>
          <w:spacing w:val="6"/>
          <w:sz w:val="32"/>
          <w:szCs w:val="32"/>
          <w:lang w:val="en-US" w:eastAsia="zh-CN"/>
        </w:rPr>
        <w:t>21</w:t>
      </w:r>
      <w:r>
        <w:rPr>
          <w:rFonts w:hint="eastAsia" w:ascii="仿宋_GB2312" w:hAnsi="仿宋_GB2312" w:eastAsia="仿宋_GB2312" w:cs="仿宋_GB2312"/>
          <w:spacing w:val="6"/>
          <w:sz w:val="32"/>
          <w:szCs w:val="32"/>
        </w:rPr>
        <w:t xml:space="preserve">年12月31日，仁宫乡人民政府所属各预算单位共有车辆1辆，其中，其他用车1辆。单位价值50万元以上通用设备0台（套），单位价值100万元以上专用设备0台（套）。 </w:t>
      </w:r>
    </w:p>
    <w:p>
      <w:pPr>
        <w:pStyle w:val="15"/>
        <w:keepNext w:val="0"/>
        <w:keepLines w:val="0"/>
        <w:pageBreakBefore w:val="0"/>
        <w:widowControl/>
        <w:kinsoku/>
        <w:wordWrap/>
        <w:overflowPunct/>
        <w:topLinePunct w:val="0"/>
        <w:autoSpaceDE/>
        <w:autoSpaceDN/>
        <w:bidi w:val="0"/>
        <w:adjustRightInd/>
        <w:snapToGrid/>
        <w:spacing w:line="560" w:lineRule="exact"/>
        <w:ind w:firstLine="664" w:firstLineChars="200"/>
        <w:textAlignment w:val="auto"/>
        <w:rPr>
          <w:rFonts w:hint="eastAsia" w:ascii="仿宋_GB2312" w:hAnsi="仿宋_GB2312" w:eastAsia="仿宋_GB2312" w:cs="仿宋_GB2312"/>
          <w:spacing w:val="6"/>
          <w:sz w:val="32"/>
          <w:szCs w:val="32"/>
          <w:lang w:eastAsia="zh-CN"/>
        </w:rPr>
      </w:pPr>
      <w:r>
        <w:rPr>
          <w:rFonts w:hint="eastAsia" w:ascii="仿宋_GB2312" w:hAnsi="仿宋_GB2312" w:eastAsia="仿宋_GB2312" w:cs="仿宋_GB2312"/>
          <w:spacing w:val="6"/>
          <w:sz w:val="32"/>
          <w:szCs w:val="32"/>
        </w:rPr>
        <w:t>202</w:t>
      </w:r>
      <w:r>
        <w:rPr>
          <w:rFonts w:hint="eastAsia" w:ascii="仿宋_GB2312" w:hAnsi="仿宋_GB2312" w:eastAsia="仿宋_GB2312" w:cs="仿宋_GB2312"/>
          <w:spacing w:val="6"/>
          <w:sz w:val="32"/>
          <w:szCs w:val="32"/>
          <w:lang w:val="en-US" w:eastAsia="zh-CN"/>
        </w:rPr>
        <w:t>1</w:t>
      </w:r>
      <w:r>
        <w:rPr>
          <w:rFonts w:hint="eastAsia" w:ascii="仿宋_GB2312" w:hAnsi="仿宋_GB2312" w:eastAsia="仿宋_GB2312" w:cs="仿宋_GB2312"/>
          <w:spacing w:val="6"/>
          <w:sz w:val="32"/>
          <w:szCs w:val="32"/>
        </w:rPr>
        <w:t>年部门预算</w:t>
      </w:r>
      <w:r>
        <w:rPr>
          <w:rFonts w:hint="eastAsia" w:ascii="仿宋_GB2312" w:hAnsi="仿宋_GB2312" w:eastAsia="仿宋_GB2312" w:cs="仿宋_GB2312"/>
          <w:spacing w:val="6"/>
          <w:sz w:val="32"/>
          <w:szCs w:val="32"/>
          <w:lang w:val="en-US" w:eastAsia="zh-CN"/>
        </w:rPr>
        <w:t>已</w:t>
      </w:r>
      <w:r>
        <w:rPr>
          <w:rFonts w:hint="eastAsia" w:ascii="仿宋_GB2312" w:hAnsi="仿宋_GB2312" w:eastAsia="仿宋_GB2312" w:cs="仿宋_GB2312"/>
          <w:spacing w:val="6"/>
          <w:sz w:val="32"/>
          <w:szCs w:val="32"/>
        </w:rPr>
        <w:t>安排购置车辆</w:t>
      </w:r>
      <w:r>
        <w:rPr>
          <w:rFonts w:hint="eastAsia" w:ascii="仿宋_GB2312" w:hAnsi="仿宋_GB2312" w:eastAsia="仿宋_GB2312" w:cs="仿宋_GB2312"/>
          <w:spacing w:val="6"/>
          <w:sz w:val="32"/>
          <w:szCs w:val="32"/>
          <w:lang w:eastAsia="zh-CN"/>
        </w:rPr>
        <w:t>，</w:t>
      </w:r>
      <w:r>
        <w:rPr>
          <w:rFonts w:hint="eastAsia" w:ascii="仿宋_GB2312" w:hAnsi="仿宋_GB2312" w:eastAsia="仿宋_GB2312" w:cs="仿宋_GB2312"/>
          <w:spacing w:val="6"/>
          <w:sz w:val="32"/>
          <w:szCs w:val="32"/>
          <w:lang w:val="en-US" w:eastAsia="zh-CN"/>
        </w:rPr>
        <w:t>未安排</w:t>
      </w:r>
      <w:r>
        <w:rPr>
          <w:rFonts w:hint="eastAsia" w:ascii="仿宋_GB2312" w:hAnsi="仿宋_GB2312" w:eastAsia="仿宋_GB2312" w:cs="仿宋_GB2312"/>
          <w:spacing w:val="6"/>
          <w:sz w:val="32"/>
          <w:szCs w:val="32"/>
        </w:rPr>
        <w:t>单位价值50万元以上通用设备及单位价值100万元以上专用设备</w:t>
      </w:r>
      <w:r>
        <w:rPr>
          <w:rFonts w:hint="eastAsia" w:ascii="仿宋_GB2312" w:hAnsi="仿宋_GB2312" w:eastAsia="仿宋_GB2312" w:cs="仿宋_GB2312"/>
          <w:spacing w:val="6"/>
          <w:sz w:val="32"/>
          <w:szCs w:val="32"/>
          <w:lang w:eastAsia="zh-CN"/>
        </w:rPr>
        <w:t>。</w:t>
      </w:r>
    </w:p>
    <w:p>
      <w:pPr>
        <w:pStyle w:val="15"/>
        <w:spacing w:line="560" w:lineRule="exact"/>
        <w:rPr>
          <w:rFonts w:ascii="仿宋_GB2312" w:eastAsia="仿宋_GB2312"/>
          <w:b/>
          <w:bCs/>
          <w:sz w:val="32"/>
          <w:szCs w:val="32"/>
        </w:rPr>
      </w:pPr>
      <w:r>
        <w:rPr>
          <w:rFonts w:hint="eastAsia" w:ascii="仿宋_GB2312" w:eastAsia="仿宋_GB2312"/>
          <w:b/>
          <w:bCs/>
          <w:sz w:val="32"/>
          <w:szCs w:val="32"/>
        </w:rPr>
        <w:t xml:space="preserve">    4.绩效目标设置情况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eastAsia="zh-CN"/>
        </w:rPr>
        <w:t>仁宫乡人民政府</w:t>
      </w:r>
      <w:r>
        <w:rPr>
          <w:rFonts w:hint="eastAsia" w:ascii="仿宋_GB2312" w:hAnsi="仿宋_GB2312" w:eastAsia="仿宋_GB2312" w:cs="仿宋_GB2312"/>
          <w:sz w:val="32"/>
          <w:szCs w:val="32"/>
        </w:rPr>
        <w:t>其他运转类项目和特定目标类项目均实行绩效目标管理，涉及一般公共预算当年拨款</w:t>
      </w:r>
      <w:r>
        <w:rPr>
          <w:rFonts w:hint="eastAsia" w:ascii="仿宋_GB2312" w:hAnsi="仿宋_GB2312" w:eastAsia="仿宋_GB2312" w:cs="仿宋_GB2312"/>
          <w:sz w:val="32"/>
          <w:szCs w:val="32"/>
          <w:lang w:val="en-US" w:eastAsia="zh-CN"/>
        </w:rPr>
        <w:t>676.89</w:t>
      </w:r>
      <w:r>
        <w:rPr>
          <w:rFonts w:hint="eastAsia" w:ascii="仿宋_GB2312" w:hAnsi="仿宋_GB2312" w:eastAsia="仿宋_GB2312" w:cs="仿宋_GB2312"/>
          <w:sz w:val="32"/>
          <w:szCs w:val="32"/>
        </w:rPr>
        <w:t>万元。</w:t>
      </w:r>
    </w:p>
    <w:p>
      <w:pPr>
        <w:pStyle w:val="15"/>
        <w:spacing w:line="560" w:lineRule="exact"/>
        <w:ind w:firstLine="640" w:firstLineChars="200"/>
        <w:rPr>
          <w:rStyle w:val="7"/>
          <w:rFonts w:ascii="黑体" w:hAnsi="黑体" w:eastAsia="黑体" w:cs="黑体"/>
          <w:b w:val="0"/>
          <w:bCs w:val="0"/>
          <w:sz w:val="32"/>
          <w:szCs w:val="32"/>
        </w:rPr>
      </w:pPr>
      <w:r>
        <w:rPr>
          <w:rStyle w:val="7"/>
          <w:rFonts w:hint="eastAsia" w:ascii="黑体" w:hAnsi="黑体" w:eastAsia="黑体" w:cs="黑体"/>
          <w:b w:val="0"/>
          <w:bCs w:val="0"/>
          <w:sz w:val="32"/>
          <w:szCs w:val="32"/>
        </w:rPr>
        <w:t>三、名词解释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1.财政拨款收入：本级财政部门当年拨付的财政预算资金，包括一般公共预算财政拨款和政府性基金预算财政拨款。</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2.专户资金:教育收费作为本部门的事业收入，纳入财政专户管理的资金。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3.事业收入：事业单位开展专业业务活动及辅助活动所取得的收入，不含专户资金收入。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5.其他收入：预算单位在“一般公共预算”“政府性基金”“专户资金”“事业收入”“事业单位经营收入”等之外取得的各项收入（含上级补助收入和附属单位缴款等收入）。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7.上年结转：指以前年度尚未完成、结转到本年仍按原规定用途继续使用的资金。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8.基本支出：是预算单位为保障其正常运转，完成日常工作任务所发生的支出，包括人员支出和日常公用支出。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9.项目支出：是预算单位为完成其特定的行政工作任务或事业发展目标所发生的支出。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10.经营支出：指事业单位在专业业务活动及其辅助活动之外开展非独立核算经营活动发生的支出。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
        <w:rPr>
          <w:rFonts w:hint="default"/>
          <w:bCs/>
          <w:sz w:val="30"/>
          <w:szCs w:val="30"/>
        </w:rPr>
      </w:pPr>
      <w:bookmarkStart w:id="0" w:name="_GoBack"/>
      <w:bookmarkEnd w:id="0"/>
    </w:p>
    <w:p>
      <w:pPr>
        <w:pStyle w:val="2"/>
        <w:rPr>
          <w:rFonts w:hint="default"/>
          <w:bCs/>
          <w:sz w:val="30"/>
          <w:szCs w:val="30"/>
        </w:rPr>
      </w:pPr>
    </w:p>
    <w:p>
      <w:pPr>
        <w:pStyle w:val="2"/>
        <w:rPr>
          <w:rFonts w:hint="default"/>
          <w:bCs/>
          <w:sz w:val="30"/>
          <w:szCs w:val="30"/>
        </w:rPr>
      </w:pPr>
    </w:p>
    <w:p>
      <w:pPr>
        <w:pStyle w:val="2"/>
        <w:rPr>
          <w:rFonts w:hint="default"/>
          <w:bCs/>
          <w:sz w:val="30"/>
          <w:szCs w:val="30"/>
        </w:rPr>
      </w:pPr>
    </w:p>
    <w:p>
      <w:pPr>
        <w:pStyle w:val="2"/>
        <w:rPr>
          <w:rFonts w:hint="default"/>
          <w:bCs/>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创艺简标宋">
    <w:altName w:val="黑体"/>
    <w:panose1 w:val="00000000000000000000"/>
    <w:charset w:val="86"/>
    <w:family w:val="auto"/>
    <w:pitch w:val="default"/>
    <w:sig w:usb0="00000000" w:usb1="00000000" w:usb2="00000000"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96D80"/>
    <w:rsid w:val="000E14C6"/>
    <w:rsid w:val="00C96D80"/>
    <w:rsid w:val="00FE3A00"/>
    <w:rsid w:val="0C014F6D"/>
    <w:rsid w:val="125B4450"/>
    <w:rsid w:val="1ED74D17"/>
    <w:rsid w:val="245B3CCB"/>
    <w:rsid w:val="255258CA"/>
    <w:rsid w:val="3787034C"/>
    <w:rsid w:val="3AB97E68"/>
    <w:rsid w:val="41260B4E"/>
    <w:rsid w:val="4AFA32A4"/>
    <w:rsid w:val="56432923"/>
    <w:rsid w:val="753064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link w:val="41"/>
    <w:uiPriority w:val="0"/>
    <w:pPr>
      <w:tabs>
        <w:tab w:val="center" w:pos="4153"/>
        <w:tab w:val="right" w:pos="8306"/>
      </w:tabs>
      <w:snapToGrid w:val="0"/>
      <w:jc w:val="left"/>
    </w:pPr>
    <w:rPr>
      <w:sz w:val="18"/>
      <w:szCs w:val="18"/>
    </w:rPr>
  </w:style>
  <w:style w:type="paragraph" w:styleId="4">
    <w:name w:val="header"/>
    <w:basedOn w:val="1"/>
    <w:link w:val="40"/>
    <w:uiPriority w:val="0"/>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styleId="8">
    <w:name w:val="FollowedHyperlink"/>
    <w:basedOn w:val="6"/>
    <w:qFormat/>
    <w:uiPriority w:val="0"/>
    <w:rPr>
      <w:color w:val="800080"/>
      <w:u w:val="none"/>
    </w:rPr>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0000FF"/>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paragraph" w:customStyle="1" w:styleId="14">
    <w:name w:val="Char"/>
    <w:basedOn w:val="1"/>
    <w:qFormat/>
    <w:uiPriority w:val="0"/>
    <w:rPr>
      <w:rFonts w:ascii="宋体" w:hAnsi="宋体" w:cs="Courier New"/>
      <w:sz w:val="32"/>
      <w:szCs w:val="32"/>
    </w:rPr>
  </w:style>
  <w:style w:type="paragraph" w:customStyle="1" w:styleId="15">
    <w:name w:val="p0"/>
    <w:basedOn w:val="1"/>
    <w:qFormat/>
    <w:uiPriority w:val="0"/>
    <w:pPr>
      <w:widowControl/>
    </w:pPr>
    <w:rPr>
      <w:kern w:val="0"/>
      <w:szCs w:val="21"/>
    </w:rPr>
  </w:style>
  <w:style w:type="character" w:customStyle="1" w:styleId="16">
    <w:name w:val="item-middle"/>
    <w:basedOn w:val="6"/>
    <w:qFormat/>
    <w:uiPriority w:val="0"/>
  </w:style>
  <w:style w:type="character" w:customStyle="1" w:styleId="17">
    <w:name w:val="image"/>
    <w:basedOn w:val="6"/>
    <w:qFormat/>
    <w:uiPriority w:val="0"/>
  </w:style>
  <w:style w:type="character" w:customStyle="1" w:styleId="18">
    <w:name w:val="image2"/>
    <w:basedOn w:val="6"/>
    <w:qFormat/>
    <w:uiPriority w:val="0"/>
  </w:style>
  <w:style w:type="character" w:customStyle="1" w:styleId="19">
    <w:name w:val="image3"/>
    <w:basedOn w:val="6"/>
    <w:qFormat/>
    <w:uiPriority w:val="0"/>
  </w:style>
  <w:style w:type="character" w:customStyle="1" w:styleId="20">
    <w:name w:val="ui-state-hover21"/>
    <w:basedOn w:val="6"/>
    <w:qFormat/>
    <w:uiPriority w:val="0"/>
  </w:style>
  <w:style w:type="character" w:customStyle="1" w:styleId="21">
    <w:name w:val="ui-state-active5"/>
    <w:basedOn w:val="6"/>
    <w:qFormat/>
    <w:uiPriority w:val="0"/>
  </w:style>
  <w:style w:type="character" w:customStyle="1" w:styleId="22">
    <w:name w:val="ui-state-default12"/>
    <w:basedOn w:val="6"/>
    <w:qFormat/>
    <w:uiPriority w:val="0"/>
  </w:style>
  <w:style w:type="character" w:customStyle="1" w:styleId="23">
    <w:name w:val="ui-state-default13"/>
    <w:basedOn w:val="6"/>
    <w:qFormat/>
    <w:uiPriority w:val="0"/>
  </w:style>
  <w:style w:type="character" w:customStyle="1" w:styleId="24">
    <w:name w:val="clicked1"/>
    <w:basedOn w:val="6"/>
    <w:qFormat/>
    <w:uiPriority w:val="0"/>
    <w:rPr>
      <w:color w:val="000000"/>
    </w:rPr>
  </w:style>
  <w:style w:type="character" w:customStyle="1" w:styleId="25">
    <w:name w:val="clicked2"/>
    <w:basedOn w:val="6"/>
    <w:qFormat/>
    <w:uiPriority w:val="0"/>
  </w:style>
  <w:style w:type="character" w:customStyle="1" w:styleId="26">
    <w:name w:val="clicked3"/>
    <w:basedOn w:val="6"/>
    <w:qFormat/>
    <w:uiPriority w:val="0"/>
  </w:style>
  <w:style w:type="character" w:customStyle="1" w:styleId="27">
    <w:name w:val="button-hover"/>
    <w:basedOn w:val="6"/>
    <w:qFormat/>
    <w:uiPriority w:val="0"/>
  </w:style>
  <w:style w:type="character" w:customStyle="1" w:styleId="28">
    <w:name w:val="button-hover1"/>
    <w:basedOn w:val="6"/>
    <w:qFormat/>
    <w:uiPriority w:val="0"/>
  </w:style>
  <w:style w:type="character" w:customStyle="1" w:styleId="29">
    <w:name w:val="group"/>
    <w:basedOn w:val="6"/>
    <w:qFormat/>
    <w:uiPriority w:val="0"/>
  </w:style>
  <w:style w:type="character" w:customStyle="1" w:styleId="30">
    <w:name w:val="directchildrenspan"/>
    <w:basedOn w:val="6"/>
    <w:qFormat/>
    <w:uiPriority w:val="0"/>
  </w:style>
  <w:style w:type="character" w:customStyle="1" w:styleId="31">
    <w:name w:val="imgspan"/>
    <w:basedOn w:val="6"/>
    <w:qFormat/>
    <w:uiPriority w:val="0"/>
  </w:style>
  <w:style w:type="character" w:customStyle="1" w:styleId="32">
    <w:name w:val="ui-icon34"/>
    <w:basedOn w:val="6"/>
    <w:qFormat/>
    <w:uiPriority w:val="0"/>
  </w:style>
  <w:style w:type="character" w:customStyle="1" w:styleId="33">
    <w:name w:val="newstitle"/>
    <w:basedOn w:val="6"/>
    <w:qFormat/>
    <w:uiPriority w:val="0"/>
    <w:rPr>
      <w:b/>
      <w:color w:val="000000"/>
      <w:sz w:val="24"/>
      <w:szCs w:val="24"/>
    </w:rPr>
  </w:style>
  <w:style w:type="character" w:customStyle="1" w:styleId="34">
    <w:name w:val="ui-state-hover"/>
    <w:basedOn w:val="6"/>
    <w:qFormat/>
    <w:uiPriority w:val="0"/>
  </w:style>
  <w:style w:type="character" w:customStyle="1" w:styleId="35">
    <w:name w:val="image1"/>
    <w:basedOn w:val="6"/>
    <w:qFormat/>
    <w:uiPriority w:val="0"/>
  </w:style>
  <w:style w:type="character" w:customStyle="1" w:styleId="36">
    <w:name w:val="clicked"/>
    <w:basedOn w:val="6"/>
    <w:qFormat/>
    <w:uiPriority w:val="0"/>
  </w:style>
  <w:style w:type="character" w:customStyle="1" w:styleId="37">
    <w:name w:val="ui-state-active"/>
    <w:basedOn w:val="6"/>
    <w:qFormat/>
    <w:uiPriority w:val="0"/>
  </w:style>
  <w:style w:type="character" w:customStyle="1" w:styleId="38">
    <w:name w:val="ui-icon33"/>
    <w:basedOn w:val="6"/>
    <w:qFormat/>
    <w:uiPriority w:val="0"/>
  </w:style>
  <w:style w:type="character" w:customStyle="1" w:styleId="39">
    <w:name w:val="ui-state-active6"/>
    <w:basedOn w:val="6"/>
    <w:qFormat/>
    <w:uiPriority w:val="0"/>
  </w:style>
  <w:style w:type="character" w:customStyle="1" w:styleId="40">
    <w:name w:val="页眉 Char"/>
    <w:basedOn w:val="6"/>
    <w:link w:val="4"/>
    <w:uiPriority w:val="0"/>
    <w:rPr>
      <w:kern w:val="2"/>
      <w:sz w:val="18"/>
      <w:szCs w:val="18"/>
    </w:rPr>
  </w:style>
  <w:style w:type="character" w:customStyle="1" w:styleId="41">
    <w:name w:val="页脚 Char"/>
    <w:basedOn w:val="6"/>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781</Words>
  <Characters>4452</Characters>
  <Lines>37</Lines>
  <Paragraphs>10</Paragraphs>
  <TotalTime>19</TotalTime>
  <ScaleCrop>false</ScaleCrop>
  <LinksUpToDate>false</LinksUpToDate>
  <CharactersWithSpaces>5223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chengws</dc:creator>
  <cp:lastModifiedBy>Administrator</cp:lastModifiedBy>
  <cp:lastPrinted>2021-02-04T08:06:00Z</cp:lastPrinted>
  <dcterms:modified xsi:type="dcterms:W3CDTF">2021-04-16T15:18:31Z</dcterms:modified>
  <dc:title>附件1：省级部门预算公开说明样式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