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5" w:lineRule="atLeast"/>
        <w:jc w:val="center"/>
        <w:rPr>
          <w:rFonts w:hint="eastAsia" w:ascii="黑体" w:hAnsi="黑体" w:eastAsia="黑体" w:cs="宋体"/>
          <w:kern w:val="0"/>
          <w:sz w:val="36"/>
          <w:szCs w:val="32"/>
        </w:rPr>
      </w:pPr>
      <w:r>
        <w:rPr>
          <w:rFonts w:hint="eastAsia" w:ascii="黑体" w:hAnsi="黑体" w:eastAsia="黑体" w:cs="宋体"/>
          <w:kern w:val="0"/>
          <w:sz w:val="36"/>
          <w:szCs w:val="32"/>
        </w:rPr>
        <w:t xml:space="preserve">2020年度瓯南街道重大行政决策事项目录清单  </w:t>
      </w:r>
    </w:p>
    <w:p>
      <w:pPr>
        <w:widowControl/>
        <w:spacing w:line="435" w:lineRule="atLeast"/>
        <w:jc w:val="center"/>
        <w:rPr>
          <w:rFonts w:hint="eastAsia" w:ascii="黑体" w:hAnsi="黑体" w:eastAsia="黑体" w:cs="宋体"/>
          <w:kern w:val="0"/>
          <w:sz w:val="36"/>
          <w:szCs w:val="32"/>
        </w:rPr>
      </w:pPr>
    </w:p>
    <w:tbl>
      <w:tblPr>
        <w:tblStyle w:val="3"/>
        <w:tblW w:w="9354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49"/>
        <w:gridCol w:w="915"/>
        <w:gridCol w:w="1736"/>
        <w:gridCol w:w="2029"/>
        <w:gridCol w:w="1515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承办单位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决策依据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必要性和可行性说明</w:t>
            </w: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决策方案的主要内容和解决的主要问题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计划安排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程序环节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青田县瓯南街道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2020年高标准农田建设项目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青田县人民政府瓯南街道办事处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青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田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县2020年政府性固定资产投资项目计划安排表(政府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项目区农业生产基础条件差，水利基础设施薄弱，水资源利用率低，农机具作业条件差，农业综合生产能低，生产方式落后等严重制约项目区农业经济的发展。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通过建设高标准农田手段，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对项目区农业生产条件进行改造，增加基础设施，改善项目区农业生产条件，提高综合生产能力，保障粮食安全，实现农业增产、农民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增收。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公开征求意见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合法性审查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班子集体讨论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签订合同实施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2020年7月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51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2022-05-12T02:53:08Z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