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青田县</w:t>
      </w:r>
      <w:r>
        <w:rPr>
          <w:rFonts w:hint="eastAsia" w:ascii="方正小标宋简体" w:eastAsia="方正小标宋简体"/>
          <w:sz w:val="44"/>
          <w:szCs w:val="44"/>
        </w:rPr>
        <w:t>统计局重大行政决策程序规定</w:t>
      </w:r>
    </w:p>
    <w:p>
      <w:pPr>
        <w:adjustRightInd w:val="0"/>
        <w:snapToGrid w:val="0"/>
        <w:spacing w:line="520" w:lineRule="exact"/>
        <w:ind w:firstLine="640" w:firstLineChars="200"/>
        <w:rPr>
          <w:rFonts w:hint="eastAsia" w:ascii="仿宋_GB2312"/>
          <w:szCs w:val="32"/>
        </w:rPr>
      </w:pP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第一条</w:t>
      </w:r>
      <w:r>
        <w:rPr>
          <w:rFonts w:hint="eastAsia" w:ascii="仿宋_GB2312"/>
          <w:szCs w:val="32"/>
        </w:rPr>
        <w:t xml:space="preserve">  为健全</w:t>
      </w:r>
      <w:r>
        <w:rPr>
          <w:rFonts w:hint="eastAsia" w:ascii="仿宋_GB2312"/>
          <w:szCs w:val="32"/>
          <w:lang w:eastAsia="zh-CN"/>
        </w:rPr>
        <w:t>青田县</w:t>
      </w:r>
      <w:r>
        <w:rPr>
          <w:rFonts w:hint="eastAsia" w:ascii="仿宋_GB2312"/>
          <w:szCs w:val="32"/>
        </w:rPr>
        <w:t>统计局重大行政决策机制，规范重大行政决策程序，提高重大行政决策的科学化、民主化、法制化水平，根据《重大行政决策程序暂行条例》《浙江省重大行政决策程序规定》《</w:t>
      </w:r>
      <w:r>
        <w:rPr>
          <w:rFonts w:hint="eastAsia" w:ascii="华文仿宋" w:hAnsi="华文仿宋" w:eastAsia="华文仿宋" w:cs="华文仿宋"/>
          <w:b w:val="0"/>
          <w:i w:val="0"/>
          <w:caps w:val="0"/>
          <w:color w:val="000000"/>
          <w:spacing w:val="-9"/>
          <w:sz w:val="32"/>
          <w:szCs w:val="32"/>
          <w:shd w:val="clear" w:fill="FFFFFF"/>
        </w:rPr>
        <w:t>丽水市</w:t>
      </w:r>
      <w:r>
        <w:rPr>
          <w:rFonts w:hint="eastAsia" w:ascii="华文仿宋" w:hAnsi="华文仿宋" w:eastAsia="华文仿宋" w:cs="华文仿宋"/>
          <w:b w:val="0"/>
          <w:i w:val="0"/>
          <w:caps w:val="0"/>
          <w:color w:val="000000"/>
          <w:spacing w:val="-9"/>
          <w:sz w:val="32"/>
          <w:szCs w:val="32"/>
          <w:shd w:val="clear" w:fill="FFFFFF"/>
          <w:lang w:eastAsia="zh-CN"/>
        </w:rPr>
        <w:t>统计局</w:t>
      </w:r>
      <w:r>
        <w:rPr>
          <w:rFonts w:hint="eastAsia" w:ascii="华文仿宋" w:hAnsi="华文仿宋" w:eastAsia="华文仿宋" w:cs="华文仿宋"/>
          <w:b w:val="0"/>
          <w:i w:val="0"/>
          <w:caps w:val="0"/>
          <w:color w:val="000000"/>
          <w:spacing w:val="-9"/>
          <w:sz w:val="32"/>
          <w:szCs w:val="32"/>
          <w:shd w:val="clear" w:fill="FFFFFF"/>
        </w:rPr>
        <w:t>重大行政决策程序规</w:t>
      </w:r>
      <w:r>
        <w:rPr>
          <w:rFonts w:hint="eastAsia" w:ascii="华文仿宋" w:hAnsi="华文仿宋" w:eastAsia="华文仿宋" w:cs="华文仿宋"/>
          <w:b w:val="0"/>
          <w:i w:val="0"/>
          <w:caps w:val="0"/>
          <w:color w:val="000000"/>
          <w:spacing w:val="-9"/>
          <w:sz w:val="32"/>
          <w:szCs w:val="32"/>
          <w:shd w:val="clear" w:fill="FFFFFF"/>
          <w:lang w:eastAsia="zh-CN"/>
        </w:rPr>
        <w:t>定</w:t>
      </w:r>
      <w:r>
        <w:rPr>
          <w:rFonts w:hint="eastAsia" w:ascii="仿宋_GB2312"/>
          <w:szCs w:val="32"/>
        </w:rPr>
        <w:t>》《</w:t>
      </w:r>
      <w:r>
        <w:rPr>
          <w:rFonts w:hint="eastAsia" w:ascii="华文仿宋" w:hAnsi="华文仿宋" w:eastAsia="华文仿宋" w:cs="华文仿宋"/>
          <w:b w:val="0"/>
          <w:i w:val="0"/>
          <w:caps w:val="0"/>
          <w:color w:val="000000"/>
          <w:spacing w:val="-9"/>
          <w:sz w:val="32"/>
          <w:szCs w:val="32"/>
          <w:shd w:val="clear" w:fill="FFFFFF"/>
          <w:lang w:eastAsia="zh-CN"/>
        </w:rPr>
        <w:t>青田县人民政府</w:t>
      </w:r>
      <w:r>
        <w:rPr>
          <w:rFonts w:hint="eastAsia" w:ascii="华文仿宋" w:hAnsi="华文仿宋" w:eastAsia="华文仿宋" w:cs="华文仿宋"/>
          <w:b w:val="0"/>
          <w:i w:val="0"/>
          <w:caps w:val="0"/>
          <w:color w:val="000000"/>
          <w:spacing w:val="-9"/>
          <w:sz w:val="32"/>
          <w:szCs w:val="32"/>
          <w:shd w:val="clear" w:fill="FFFFFF"/>
        </w:rPr>
        <w:t>重大行政决策程序规</w:t>
      </w:r>
      <w:r>
        <w:rPr>
          <w:rFonts w:hint="eastAsia" w:ascii="华文仿宋" w:hAnsi="华文仿宋" w:eastAsia="华文仿宋" w:cs="华文仿宋"/>
          <w:b w:val="0"/>
          <w:i w:val="0"/>
          <w:caps w:val="0"/>
          <w:color w:val="000000"/>
          <w:spacing w:val="-9"/>
          <w:sz w:val="32"/>
          <w:szCs w:val="32"/>
          <w:shd w:val="clear" w:fill="FFFFFF"/>
          <w:lang w:eastAsia="zh-CN"/>
        </w:rPr>
        <w:t>则</w:t>
      </w:r>
      <w:r>
        <w:rPr>
          <w:rFonts w:hint="eastAsia" w:ascii="仿宋_GB2312"/>
          <w:szCs w:val="32"/>
        </w:rPr>
        <w:t>》等规定，结合统计工作实际，制定本规定。</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第二条</w:t>
      </w:r>
      <w:r>
        <w:rPr>
          <w:rFonts w:hint="eastAsia" w:ascii="仿宋_GB2312"/>
          <w:szCs w:val="32"/>
        </w:rPr>
        <w:t xml:space="preserve">  重大行政决策应当遵循科学决策、民主决策、依法决策的原则，执行法定程序，提高决策质量和效率。</w:t>
      </w:r>
    </w:p>
    <w:p>
      <w:pPr>
        <w:pStyle w:val="6"/>
        <w:shd w:val="clear" w:color="auto" w:fill="FFFFFF"/>
        <w:adjustRightInd w:val="0"/>
        <w:snapToGrid w:val="0"/>
        <w:spacing w:before="0" w:beforeAutospacing="0" w:after="0" w:afterAutospacing="0" w:line="520" w:lineRule="exact"/>
        <w:ind w:firstLine="640" w:firstLineChars="200"/>
        <w:jc w:val="both"/>
        <w:rPr>
          <w:rFonts w:hint="eastAsia"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sz w:val="32"/>
          <w:szCs w:val="32"/>
        </w:rPr>
        <w:t>本规定所称的重大行政决策（以下简称“决策”）事项，包括：</w:t>
      </w:r>
    </w:p>
    <w:p>
      <w:pPr>
        <w:pStyle w:val="6"/>
        <w:shd w:val="clear" w:color="auto" w:fill="FFFFFF"/>
        <w:adjustRightInd w:val="0"/>
        <w:snapToGrid w:val="0"/>
        <w:spacing w:before="0" w:beforeAutospacing="0" w:after="0" w:afterAutospacing="0" w:line="520" w:lineRule="exact"/>
        <w:ind w:firstLine="604" w:firstLineChars="200"/>
        <w:jc w:val="both"/>
        <w:rPr>
          <w:rFonts w:ascii="仿宋_GB2312" w:eastAsia="仿宋_GB2312"/>
          <w:color w:val="000000"/>
          <w:spacing w:val="-9"/>
          <w:sz w:val="32"/>
          <w:szCs w:val="32"/>
        </w:rPr>
      </w:pPr>
      <w:r>
        <w:rPr>
          <w:rFonts w:hint="eastAsia" w:ascii="楷体_GB2312" w:eastAsia="楷体_GB2312"/>
          <w:color w:val="000000"/>
          <w:spacing w:val="-9"/>
          <w:sz w:val="32"/>
          <w:szCs w:val="32"/>
        </w:rPr>
        <w:t>（一）</w:t>
      </w:r>
      <w:r>
        <w:rPr>
          <w:rFonts w:hint="eastAsia" w:ascii="仿宋_GB2312" w:eastAsia="仿宋_GB2312"/>
          <w:color w:val="000000"/>
          <w:spacing w:val="-9"/>
          <w:sz w:val="32"/>
          <w:szCs w:val="32"/>
        </w:rPr>
        <w:t>全面贯彻落实党中央、国务院，省委、省政府</w:t>
      </w:r>
      <w:r>
        <w:rPr>
          <w:rFonts w:hint="eastAsia" w:ascii="仿宋_GB2312" w:eastAsia="仿宋_GB2312"/>
          <w:color w:val="000000"/>
          <w:spacing w:val="-9"/>
          <w:sz w:val="32"/>
          <w:szCs w:val="32"/>
          <w:lang w:eastAsia="zh-CN"/>
        </w:rPr>
        <w:t>、市委、市政府和县</w:t>
      </w:r>
      <w:r>
        <w:rPr>
          <w:rFonts w:hint="eastAsia" w:ascii="仿宋_GB2312" w:eastAsia="仿宋_GB2312"/>
          <w:color w:val="000000"/>
          <w:spacing w:val="-9"/>
          <w:sz w:val="32"/>
          <w:szCs w:val="32"/>
        </w:rPr>
        <w:t>委、</w:t>
      </w:r>
      <w:r>
        <w:rPr>
          <w:rFonts w:hint="eastAsia" w:ascii="仿宋_GB2312" w:eastAsia="仿宋_GB2312"/>
          <w:color w:val="000000"/>
          <w:spacing w:val="-9"/>
          <w:sz w:val="32"/>
          <w:szCs w:val="32"/>
          <w:lang w:eastAsia="zh-CN"/>
        </w:rPr>
        <w:t>县</w:t>
      </w:r>
      <w:r>
        <w:rPr>
          <w:rFonts w:hint="eastAsia" w:ascii="仿宋_GB2312" w:eastAsia="仿宋_GB2312"/>
          <w:color w:val="000000"/>
          <w:spacing w:val="-9"/>
          <w:sz w:val="32"/>
          <w:szCs w:val="32"/>
        </w:rPr>
        <w:t>政府有关统计方面重要指示、决定的实施意见和措施；</w:t>
      </w:r>
    </w:p>
    <w:p>
      <w:pPr>
        <w:adjustRightInd w:val="0"/>
        <w:snapToGrid w:val="0"/>
        <w:spacing w:line="520" w:lineRule="exact"/>
        <w:ind w:firstLine="640" w:firstLineChars="200"/>
        <w:rPr>
          <w:rFonts w:ascii="仿宋_GB2312"/>
          <w:szCs w:val="32"/>
        </w:rPr>
      </w:pPr>
      <w:r>
        <w:rPr>
          <w:rFonts w:hint="eastAsia" w:ascii="楷体_GB2312" w:eastAsia="楷体_GB2312"/>
          <w:szCs w:val="32"/>
        </w:rPr>
        <w:t>（二）</w:t>
      </w:r>
      <w:r>
        <w:rPr>
          <w:rFonts w:hint="eastAsia" w:ascii="仿宋_GB2312"/>
          <w:szCs w:val="32"/>
        </w:rPr>
        <w:t>制定</w:t>
      </w:r>
      <w:r>
        <w:rPr>
          <w:rFonts w:hint="eastAsia" w:ascii="仿宋_GB2312"/>
          <w:szCs w:val="32"/>
          <w:lang w:eastAsia="zh-CN"/>
        </w:rPr>
        <w:t>全</w:t>
      </w:r>
      <w:bookmarkStart w:id="0" w:name="_GoBack"/>
      <w:bookmarkEnd w:id="0"/>
      <w:r>
        <w:rPr>
          <w:rFonts w:hint="eastAsia" w:ascii="仿宋_GB2312"/>
          <w:szCs w:val="32"/>
          <w:lang w:eastAsia="zh-CN"/>
        </w:rPr>
        <w:t>县</w:t>
      </w:r>
      <w:r>
        <w:rPr>
          <w:rFonts w:hint="eastAsia" w:ascii="仿宋_GB2312"/>
          <w:szCs w:val="32"/>
        </w:rPr>
        <w:t>统计发展与改革的重大政策措施；</w:t>
      </w:r>
    </w:p>
    <w:p>
      <w:pPr>
        <w:pStyle w:val="6"/>
        <w:shd w:val="clear" w:color="auto" w:fill="FFFFFF"/>
        <w:adjustRightInd w:val="0"/>
        <w:snapToGrid w:val="0"/>
        <w:spacing w:before="0" w:beforeAutospacing="0" w:after="0" w:afterAutospacing="0" w:line="520" w:lineRule="exact"/>
        <w:ind w:firstLine="640" w:firstLineChars="200"/>
        <w:jc w:val="both"/>
        <w:rPr>
          <w:rFonts w:ascii="仿宋_GB2312" w:eastAsia="仿宋_GB2312"/>
          <w:color w:val="000000"/>
          <w:spacing w:val="-9"/>
          <w:sz w:val="32"/>
          <w:szCs w:val="32"/>
        </w:rPr>
      </w:pPr>
      <w:r>
        <w:rPr>
          <w:rFonts w:hint="eastAsia" w:ascii="楷体_GB2312" w:eastAsia="楷体_GB2312"/>
          <w:sz w:val="32"/>
          <w:szCs w:val="32"/>
        </w:rPr>
        <w:t>（三）</w:t>
      </w:r>
      <w:r>
        <w:rPr>
          <w:rFonts w:hint="eastAsia" w:ascii="仿宋_GB2312" w:eastAsia="仿宋_GB2312"/>
          <w:color w:val="000000"/>
          <w:spacing w:val="-9"/>
          <w:sz w:val="32"/>
          <w:szCs w:val="32"/>
        </w:rPr>
        <w:t>研究统计重大项目开支、资金安排和重大国有资产处置；</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（四）</w:t>
      </w:r>
      <w:r>
        <w:rPr>
          <w:rFonts w:hint="eastAsia" w:ascii="仿宋_GB2312"/>
          <w:szCs w:val="32"/>
        </w:rPr>
        <w:t>由</w:t>
      </w:r>
      <w:r>
        <w:rPr>
          <w:rFonts w:hint="eastAsia" w:ascii="仿宋_GB2312"/>
          <w:szCs w:val="32"/>
          <w:lang w:eastAsia="zh-CN"/>
        </w:rPr>
        <w:t>县</w:t>
      </w:r>
      <w:r>
        <w:rPr>
          <w:rFonts w:hint="eastAsia" w:ascii="仿宋_GB2312"/>
          <w:szCs w:val="32"/>
        </w:rPr>
        <w:t>统计局组织开展的全</w:t>
      </w:r>
      <w:r>
        <w:rPr>
          <w:rFonts w:hint="eastAsia" w:ascii="仿宋_GB2312"/>
          <w:szCs w:val="32"/>
          <w:lang w:eastAsia="zh-CN"/>
        </w:rPr>
        <w:t>县</w:t>
      </w:r>
      <w:r>
        <w:rPr>
          <w:rFonts w:hint="eastAsia" w:ascii="仿宋_GB2312"/>
          <w:szCs w:val="32"/>
        </w:rPr>
        <w:t>性普查和大型统计调查；</w:t>
      </w:r>
    </w:p>
    <w:p>
      <w:pPr>
        <w:pStyle w:val="6"/>
        <w:shd w:val="clear" w:color="auto" w:fill="FFFFFF"/>
        <w:adjustRightInd w:val="0"/>
        <w:snapToGrid w:val="0"/>
        <w:spacing w:before="0" w:beforeAutospacing="0" w:after="0" w:afterAutospacing="0" w:line="520" w:lineRule="exact"/>
        <w:ind w:firstLine="604" w:firstLineChars="200"/>
        <w:jc w:val="both"/>
        <w:rPr>
          <w:rFonts w:ascii="仿宋_GB2312" w:eastAsia="仿宋_GB2312"/>
          <w:color w:val="000000"/>
          <w:spacing w:val="-9"/>
          <w:sz w:val="32"/>
          <w:szCs w:val="32"/>
        </w:rPr>
      </w:pPr>
      <w:r>
        <w:rPr>
          <w:rFonts w:hint="eastAsia" w:ascii="楷体_GB2312" w:eastAsia="楷体_GB2312"/>
          <w:color w:val="000000"/>
          <w:spacing w:val="-9"/>
          <w:sz w:val="32"/>
          <w:szCs w:val="32"/>
        </w:rPr>
        <w:t>（五）</w:t>
      </w:r>
      <w:r>
        <w:rPr>
          <w:rFonts w:hint="eastAsia" w:ascii="仿宋_GB2312" w:eastAsia="仿宋_GB2312"/>
          <w:color w:val="000000"/>
          <w:spacing w:val="-9"/>
          <w:sz w:val="32"/>
          <w:szCs w:val="32"/>
        </w:rPr>
        <w:t>统计行政管理体制改革重大措施的制定；</w:t>
      </w:r>
    </w:p>
    <w:p>
      <w:pPr>
        <w:pStyle w:val="6"/>
        <w:shd w:val="clear" w:color="auto" w:fill="FFFFFF"/>
        <w:adjustRightInd w:val="0"/>
        <w:snapToGrid w:val="0"/>
        <w:spacing w:before="0" w:beforeAutospacing="0" w:after="0" w:afterAutospacing="0" w:line="520" w:lineRule="exact"/>
        <w:ind w:firstLine="604" w:firstLineChars="200"/>
        <w:jc w:val="both"/>
        <w:rPr>
          <w:rFonts w:ascii="仿宋_GB2312" w:eastAsia="仿宋_GB2312"/>
          <w:color w:val="000000"/>
          <w:spacing w:val="-9"/>
          <w:sz w:val="32"/>
          <w:szCs w:val="32"/>
        </w:rPr>
      </w:pPr>
      <w:r>
        <w:rPr>
          <w:rFonts w:hint="eastAsia" w:ascii="楷体_GB2312" w:eastAsia="楷体_GB2312"/>
          <w:color w:val="000000"/>
          <w:spacing w:val="-9"/>
          <w:sz w:val="32"/>
          <w:szCs w:val="32"/>
        </w:rPr>
        <w:t>（六）</w:t>
      </w:r>
      <w:r>
        <w:rPr>
          <w:rFonts w:hint="eastAsia" w:ascii="仿宋_GB2312" w:eastAsia="仿宋_GB2312"/>
          <w:color w:val="000000"/>
          <w:spacing w:val="-9"/>
          <w:sz w:val="32"/>
          <w:szCs w:val="32"/>
        </w:rPr>
        <w:t>提请</w:t>
      </w:r>
      <w:r>
        <w:rPr>
          <w:rFonts w:hint="eastAsia" w:ascii="仿宋_GB2312" w:eastAsia="仿宋_GB2312"/>
          <w:color w:val="000000"/>
          <w:spacing w:val="-9"/>
          <w:sz w:val="32"/>
          <w:szCs w:val="32"/>
          <w:lang w:eastAsia="zh-CN"/>
        </w:rPr>
        <w:t>县</w:t>
      </w:r>
      <w:r>
        <w:rPr>
          <w:rFonts w:hint="eastAsia" w:ascii="仿宋_GB2312" w:eastAsia="仿宋_GB2312"/>
          <w:color w:val="000000"/>
          <w:spacing w:val="-9"/>
          <w:sz w:val="32"/>
          <w:szCs w:val="32"/>
        </w:rPr>
        <w:t>政府决策发文的有关事项；</w:t>
      </w:r>
    </w:p>
    <w:p>
      <w:pPr>
        <w:pStyle w:val="6"/>
        <w:shd w:val="clear" w:color="auto" w:fill="FFFFFF"/>
        <w:adjustRightInd w:val="0"/>
        <w:snapToGrid w:val="0"/>
        <w:spacing w:before="0" w:beforeAutospacing="0" w:after="0" w:afterAutospacing="0" w:line="520" w:lineRule="exact"/>
        <w:ind w:firstLine="604" w:firstLineChars="200"/>
        <w:jc w:val="both"/>
        <w:rPr>
          <w:rFonts w:ascii="仿宋_GB2312" w:eastAsia="仿宋_GB2312"/>
          <w:color w:val="000000"/>
          <w:spacing w:val="-9"/>
          <w:sz w:val="32"/>
          <w:szCs w:val="32"/>
        </w:rPr>
      </w:pPr>
      <w:r>
        <w:rPr>
          <w:rFonts w:hint="eastAsia" w:ascii="楷体_GB2312" w:eastAsia="楷体_GB2312"/>
          <w:color w:val="000000"/>
          <w:spacing w:val="-9"/>
          <w:sz w:val="32"/>
          <w:szCs w:val="32"/>
        </w:rPr>
        <w:t>（七）</w:t>
      </w:r>
      <w:r>
        <w:rPr>
          <w:rFonts w:hint="eastAsia" w:ascii="仿宋_GB2312" w:eastAsia="仿宋_GB2312"/>
          <w:color w:val="000000"/>
          <w:spacing w:val="-9"/>
          <w:sz w:val="32"/>
          <w:szCs w:val="32"/>
        </w:rPr>
        <w:t>其他重大统计工作事项。</w:t>
      </w:r>
    </w:p>
    <w:p>
      <w:pPr>
        <w:adjustRightInd w:val="0"/>
        <w:snapToGrid w:val="0"/>
        <w:spacing w:line="520" w:lineRule="exact"/>
        <w:ind w:firstLine="640" w:firstLineChars="200"/>
        <w:rPr>
          <w:rFonts w:hint="eastAsia" w:ascii="仿宋_GB2312"/>
          <w:szCs w:val="32"/>
        </w:rPr>
      </w:pPr>
      <w:r>
        <w:rPr>
          <w:rFonts w:hint="eastAsia" w:ascii="仿宋_GB2312"/>
          <w:szCs w:val="32"/>
        </w:rPr>
        <w:t>局办公室根据前款规定提出决策事项目录，经局领导班子集体讨论确定和局党组同意后向社会公布，并根据实际情况调整。</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第四条</w:t>
      </w:r>
      <w:r>
        <w:rPr>
          <w:rFonts w:hint="eastAsia" w:ascii="仿宋_GB2312"/>
          <w:szCs w:val="32"/>
        </w:rPr>
        <w:t xml:space="preserve">  局各</w:t>
      </w:r>
      <w:r>
        <w:rPr>
          <w:rFonts w:hint="eastAsia" w:ascii="仿宋_GB2312"/>
          <w:szCs w:val="32"/>
          <w:lang w:eastAsia="zh-CN"/>
        </w:rPr>
        <w:t>科</w:t>
      </w:r>
      <w:r>
        <w:rPr>
          <w:rFonts w:hint="eastAsia" w:ascii="仿宋_GB2312"/>
          <w:szCs w:val="32"/>
        </w:rPr>
        <w:t>室为决策事项的承办机构，按照职责分工负责决策事项的调研，草案起草，组织公众参与、专家论证、风险评估，及决策事项执行后的跟踪评估、调整完善等工作。决策事项涉及两个以上承办机构的，由分管局领导协调或者由局长确定。</w:t>
      </w:r>
    </w:p>
    <w:p>
      <w:pPr>
        <w:adjustRightInd w:val="0"/>
        <w:snapToGrid w:val="0"/>
        <w:spacing w:line="520" w:lineRule="exact"/>
        <w:ind w:firstLine="640" w:firstLineChars="200"/>
        <w:rPr>
          <w:rFonts w:hint="eastAsia" w:ascii="黑体" w:hAnsi="黑体" w:eastAsia="黑体"/>
          <w:szCs w:val="32"/>
        </w:rPr>
      </w:pPr>
      <w:r>
        <w:rPr>
          <w:rFonts w:hint="eastAsia" w:ascii="仿宋_GB2312"/>
          <w:szCs w:val="32"/>
        </w:rPr>
        <w:t>局综合</w:t>
      </w:r>
      <w:r>
        <w:rPr>
          <w:rFonts w:hint="eastAsia" w:ascii="仿宋_GB2312"/>
          <w:szCs w:val="32"/>
          <w:lang w:eastAsia="zh-CN"/>
        </w:rPr>
        <w:t>科</w:t>
      </w:r>
      <w:r>
        <w:rPr>
          <w:rFonts w:hint="eastAsia" w:ascii="仿宋_GB2312"/>
          <w:szCs w:val="32"/>
        </w:rPr>
        <w:t>负责决策草案的合法性审查工作。</w:t>
      </w:r>
    </w:p>
    <w:p>
      <w:pPr>
        <w:adjustRightInd w:val="0"/>
        <w:snapToGrid w:val="0"/>
        <w:spacing w:line="520" w:lineRule="exact"/>
        <w:ind w:firstLine="640" w:firstLineChars="200"/>
        <w:rPr>
          <w:rFonts w:hint="eastAsia" w:ascii="黑体" w:hAnsi="黑体" w:eastAsia="黑体"/>
          <w:szCs w:val="32"/>
        </w:rPr>
      </w:pPr>
      <w:r>
        <w:rPr>
          <w:rFonts w:hint="eastAsia" w:ascii="仿宋_GB2312"/>
          <w:szCs w:val="32"/>
        </w:rPr>
        <w:t>局办公室负责决策议题的收集、审核提交工作。</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第五条</w:t>
      </w:r>
      <w:r>
        <w:rPr>
          <w:rFonts w:hint="eastAsia" w:ascii="仿宋_GB2312"/>
          <w:szCs w:val="32"/>
        </w:rPr>
        <w:t xml:space="preserve">  决策事项承办机构应当在深入调查研究，全面、准确掌握决策事项有关信息，并按照决策事项涉及范围征求有关方面意见的基础上，拟定决策草案。</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第六条</w:t>
      </w:r>
      <w:r>
        <w:rPr>
          <w:rFonts w:hint="eastAsia" w:ascii="仿宋_GB2312"/>
          <w:szCs w:val="32"/>
        </w:rPr>
        <w:t xml:space="preserve">  决策事项涉及面广或者与公民、法人和其他组织利益密切相关的，除依法不得公开的以外，应当根据决策事项对公众影响的范围、程度，广泛听取公众意见。</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第七条</w:t>
      </w:r>
      <w:r>
        <w:rPr>
          <w:rFonts w:hint="eastAsia" w:ascii="仿宋_GB2312"/>
          <w:szCs w:val="32"/>
        </w:rPr>
        <w:t xml:space="preserve">  决策事项直接涉及公民、法人、其他组织切身利益或者存在较大分歧的，可以召开听证会。</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第八条</w:t>
      </w:r>
      <w:r>
        <w:rPr>
          <w:rFonts w:hint="eastAsia" w:ascii="仿宋_GB2312"/>
          <w:szCs w:val="32"/>
        </w:rPr>
        <w:t xml:space="preserve">  专业性、技术性较强的决策事项需要专家论证的，决策事项承办机构应当组织相关领域的专家或者委托专业研究机构对决策草案的科学性、必要性、可行性进行论证，形成论证报告。</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第九条</w:t>
      </w:r>
      <w:r>
        <w:rPr>
          <w:rFonts w:hint="eastAsia" w:ascii="仿宋_GB2312"/>
          <w:szCs w:val="32"/>
        </w:rPr>
        <w:t xml:space="preserve">  决策的实施可能对社会稳定、公共安全、环境保护等方面造成不利影响的，决策事项承办机构应当组织风险评估。</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第十条</w:t>
      </w:r>
      <w:r>
        <w:rPr>
          <w:rFonts w:hint="eastAsia" w:ascii="仿宋_GB2312"/>
          <w:szCs w:val="32"/>
        </w:rPr>
        <w:t xml:space="preserve">  合法性审查内容包括：</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（一）</w:t>
      </w:r>
      <w:r>
        <w:rPr>
          <w:rFonts w:hint="eastAsia" w:ascii="仿宋_GB2312"/>
          <w:szCs w:val="32"/>
        </w:rPr>
        <w:t>是否具有相应法定决策权；</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（二）</w:t>
      </w:r>
      <w:r>
        <w:rPr>
          <w:rFonts w:hint="eastAsia" w:ascii="仿宋_GB2312"/>
          <w:szCs w:val="32"/>
        </w:rPr>
        <w:t>内容是否具有法定依据，与有关法律、法规、规章规定是否抵触；</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（三）</w:t>
      </w:r>
      <w:r>
        <w:rPr>
          <w:rFonts w:hint="eastAsia" w:ascii="仿宋_GB2312"/>
          <w:szCs w:val="32"/>
        </w:rPr>
        <w:t>制订是否符合法定程序要求；</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（四）</w:t>
      </w:r>
      <w:r>
        <w:rPr>
          <w:rFonts w:hint="eastAsia" w:ascii="仿宋_GB2312"/>
          <w:szCs w:val="32"/>
        </w:rPr>
        <w:t>其他需要审查的内容。</w:t>
      </w:r>
    </w:p>
    <w:p>
      <w:pPr>
        <w:adjustRightInd w:val="0"/>
        <w:snapToGrid w:val="0"/>
        <w:spacing w:line="520" w:lineRule="exact"/>
        <w:ind w:firstLine="640" w:firstLineChars="200"/>
        <w:rPr>
          <w:rFonts w:hint="eastAsia" w:ascii="仿宋_GB2312"/>
          <w:szCs w:val="32"/>
        </w:rPr>
      </w:pPr>
      <w:r>
        <w:rPr>
          <w:rFonts w:hint="eastAsia" w:ascii="仿宋_GB2312"/>
          <w:szCs w:val="32"/>
        </w:rPr>
        <w:t>决策草案未经合法性审查的，不得提请讨论决定。</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第十一条</w:t>
      </w:r>
      <w:r>
        <w:rPr>
          <w:rFonts w:hint="eastAsia" w:ascii="仿宋_GB2312"/>
          <w:szCs w:val="32"/>
        </w:rPr>
        <w:t xml:space="preserve">  提请讨论决定决策事项，决策事项承办机构应当提交下列材料：</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（一）</w:t>
      </w:r>
      <w:r>
        <w:rPr>
          <w:rFonts w:hint="eastAsia" w:ascii="仿宋_GB2312"/>
          <w:szCs w:val="32"/>
        </w:rPr>
        <w:t>决策草案和说明；</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（二）</w:t>
      </w:r>
      <w:r>
        <w:rPr>
          <w:rFonts w:hint="eastAsia" w:ascii="仿宋_GB2312"/>
          <w:szCs w:val="32"/>
        </w:rPr>
        <w:t>听取意见情况；</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（三）</w:t>
      </w:r>
      <w:r>
        <w:rPr>
          <w:rFonts w:hint="eastAsia" w:ascii="仿宋_GB2312"/>
          <w:szCs w:val="32"/>
        </w:rPr>
        <w:t>风险评估报告；</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（四）</w:t>
      </w:r>
      <w:r>
        <w:rPr>
          <w:rFonts w:hint="eastAsia" w:ascii="仿宋_GB2312"/>
          <w:szCs w:val="32"/>
        </w:rPr>
        <w:t>合法性审查意见；</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（五）</w:t>
      </w:r>
      <w:r>
        <w:rPr>
          <w:rFonts w:hint="eastAsia" w:ascii="仿宋_GB2312"/>
          <w:szCs w:val="32"/>
        </w:rPr>
        <w:t>会议需要的其他材料。</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第十二条</w:t>
      </w:r>
      <w:r>
        <w:rPr>
          <w:rFonts w:hint="eastAsia" w:ascii="仿宋_GB2312"/>
          <w:szCs w:val="32"/>
        </w:rPr>
        <w:t xml:space="preserve">  决策草案应当经局领导班子集体讨论，是否通过由局主要负责人在集体讨论基础上作出决定。</w:t>
      </w:r>
    </w:p>
    <w:p>
      <w:pPr>
        <w:adjustRightInd w:val="0"/>
        <w:snapToGrid w:val="0"/>
        <w:spacing w:line="520" w:lineRule="exact"/>
        <w:ind w:firstLine="640" w:firstLineChars="200"/>
        <w:rPr>
          <w:rFonts w:hint="eastAsia" w:ascii="仿宋_GB2312"/>
          <w:szCs w:val="32"/>
        </w:rPr>
      </w:pPr>
      <w:r>
        <w:rPr>
          <w:rFonts w:hint="eastAsia" w:ascii="仿宋_GB2312"/>
          <w:szCs w:val="32"/>
        </w:rPr>
        <w:t>集体讨论时，参加人员应当充分发表意见；未发表意见的，视为同意。</w:t>
      </w:r>
    </w:p>
    <w:p>
      <w:pPr>
        <w:adjustRightInd w:val="0"/>
        <w:snapToGrid w:val="0"/>
        <w:spacing w:line="520" w:lineRule="exact"/>
        <w:ind w:firstLine="640" w:firstLineChars="200"/>
        <w:rPr>
          <w:rFonts w:hint="eastAsia" w:ascii="仿宋_GB2312"/>
          <w:szCs w:val="32"/>
        </w:rPr>
      </w:pPr>
      <w:r>
        <w:rPr>
          <w:rFonts w:hint="eastAsia" w:ascii="仿宋_GB2312"/>
          <w:szCs w:val="32"/>
        </w:rPr>
        <w:t>集体讨论决定情况应当如实记录，不同意见应当如实载明。</w:t>
      </w:r>
    </w:p>
    <w:p>
      <w:pPr>
        <w:adjustRightInd w:val="0"/>
        <w:snapToGrid w:val="0"/>
        <w:spacing w:line="520" w:lineRule="exact"/>
        <w:ind w:firstLine="640" w:firstLineChars="200"/>
        <w:rPr>
          <w:rFonts w:hint="eastAsia" w:ascii="仿宋_GB2312"/>
          <w:szCs w:val="32"/>
        </w:rPr>
      </w:pPr>
      <w:r>
        <w:rPr>
          <w:rFonts w:hint="eastAsia" w:ascii="仿宋_GB2312"/>
          <w:szCs w:val="32"/>
        </w:rPr>
        <w:t>参加集体讨论人员不得对外泄露会议讨论情况。</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第十三条</w:t>
      </w:r>
      <w:r>
        <w:rPr>
          <w:rFonts w:hint="eastAsia" w:ascii="仿宋_GB2312"/>
          <w:szCs w:val="32"/>
        </w:rPr>
        <w:t xml:space="preserve">  决策出台前应当按照规定向局党组请示报告。</w:t>
      </w:r>
    </w:p>
    <w:p>
      <w:pPr>
        <w:adjustRightInd w:val="0"/>
        <w:snapToGrid w:val="0"/>
        <w:spacing w:line="520" w:lineRule="exact"/>
        <w:ind w:firstLine="640" w:firstLineChars="200"/>
        <w:rPr>
          <w:rFonts w:hint="eastAsia" w:ascii="仿宋_GB2312"/>
          <w:szCs w:val="32"/>
        </w:rPr>
      </w:pPr>
      <w:r>
        <w:rPr>
          <w:rFonts w:hint="eastAsia" w:ascii="仿宋_GB2312"/>
          <w:szCs w:val="32"/>
        </w:rPr>
        <w:t>决策除依法不公开的外，应当通过</w:t>
      </w:r>
      <w:r>
        <w:rPr>
          <w:rFonts w:hint="eastAsia" w:ascii="仿宋_GB2312"/>
          <w:szCs w:val="32"/>
          <w:lang w:eastAsia="zh-CN"/>
        </w:rPr>
        <w:t>青田</w:t>
      </w:r>
      <w:r>
        <w:rPr>
          <w:rFonts w:hint="eastAsia" w:ascii="仿宋_GB2312"/>
          <w:szCs w:val="32"/>
        </w:rPr>
        <w:t>政务服务网、局门户网站等途径公布，便于公众知晓和查询。</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第十四条</w:t>
      </w:r>
      <w:r>
        <w:rPr>
          <w:rFonts w:hint="eastAsia" w:ascii="仿宋_GB2312"/>
          <w:szCs w:val="32"/>
        </w:rPr>
        <w:t xml:space="preserve">  决策实施中，有下列情形之一的，可以通过征求公众意见、专家论证和委托第三方评估等方式，对实施效果、存在问题等进行总结评估，并根据情况采取完善和调整措施：</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（一）</w:t>
      </w:r>
      <w:r>
        <w:rPr>
          <w:rFonts w:hint="eastAsia" w:ascii="仿宋_GB2312"/>
          <w:szCs w:val="32"/>
        </w:rPr>
        <w:t>决策实施后明显未达到预期效果；</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（二）</w:t>
      </w:r>
      <w:r>
        <w:rPr>
          <w:rFonts w:hint="eastAsia" w:ascii="仿宋_GB2312"/>
          <w:szCs w:val="32"/>
        </w:rPr>
        <w:t>公民、法人或者其他组织提出较多意见；</w:t>
      </w:r>
    </w:p>
    <w:p>
      <w:pPr>
        <w:adjustRightInd w:val="0"/>
        <w:snapToGrid w:val="0"/>
        <w:spacing w:line="520" w:lineRule="exact"/>
        <w:ind w:firstLine="640" w:firstLineChars="200"/>
        <w:rPr>
          <w:rFonts w:hint="eastAsia" w:ascii="仿宋_GB2312"/>
          <w:szCs w:val="32"/>
        </w:rPr>
      </w:pPr>
      <w:r>
        <w:rPr>
          <w:rFonts w:hint="eastAsia" w:ascii="楷体_GB2312" w:eastAsia="楷体_GB2312"/>
          <w:szCs w:val="32"/>
        </w:rPr>
        <w:t>（三）</w:t>
      </w:r>
      <w:r>
        <w:rPr>
          <w:rFonts w:hint="eastAsia" w:ascii="仿宋_GB2312"/>
          <w:szCs w:val="32"/>
        </w:rPr>
        <w:t>其他有必要进行调整的。</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第十五条</w:t>
      </w:r>
      <w:r>
        <w:rPr>
          <w:rFonts w:hint="eastAsia" w:ascii="仿宋_GB2312"/>
          <w:szCs w:val="32"/>
        </w:rPr>
        <w:t xml:space="preserve">  依规定作出的决策，未经规定程序不得随意变更或者停止执行；执行中出现本规定第十四条规定的情形、情况紧急的，局主要负责人可以先决定中止执行；需要作出重大调整的，应当依照本规定履行相关程序。</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第十六条</w:t>
      </w:r>
      <w:r>
        <w:rPr>
          <w:rFonts w:hint="eastAsia" w:ascii="仿宋_GB2312"/>
          <w:szCs w:val="32"/>
        </w:rPr>
        <w:t xml:space="preserve">  违反本规定造成决策重大失误或在决策过程中违反保密规定的，依纪依法依规追究相关责任人员责任。</w:t>
      </w:r>
    </w:p>
    <w:p>
      <w:pPr>
        <w:adjustRightInd w:val="0"/>
        <w:snapToGrid w:val="0"/>
        <w:spacing w:line="520" w:lineRule="exact"/>
        <w:ind w:firstLine="640" w:firstLineChars="200"/>
        <w:rPr>
          <w:rFonts w:hint="eastAsia" w:ascii="仿宋_GB2312"/>
          <w:szCs w:val="32"/>
        </w:rPr>
      </w:pPr>
      <w:r>
        <w:rPr>
          <w:rFonts w:hint="eastAsia" w:ascii="仿宋_GB2312"/>
          <w:szCs w:val="32"/>
        </w:rPr>
        <w:t>集体讨论决定决策事项时，有关人员对严重失误决策明确持不赞成态度或者保留意见的，应当免除或者减轻责任。</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第十七条</w:t>
      </w:r>
      <w:r>
        <w:rPr>
          <w:rFonts w:hint="eastAsia" w:ascii="仿宋_GB2312"/>
          <w:szCs w:val="32"/>
        </w:rPr>
        <w:t xml:space="preserve">  决策事项承办机构应当根据档案管理相关规定，将决策作出、执行、调整等过程中的相关材料及时整理归档。</w:t>
      </w:r>
    </w:p>
    <w:p>
      <w:pPr>
        <w:adjustRightInd w:val="0"/>
        <w:snapToGrid w:val="0"/>
        <w:spacing w:line="520" w:lineRule="exact"/>
        <w:ind w:firstLine="640" w:firstLineChars="200"/>
        <w:rPr>
          <w:rFonts w:hint="eastAsia" w:ascii="仿宋_GB2312"/>
          <w:szCs w:val="32"/>
        </w:rPr>
      </w:pPr>
      <w:r>
        <w:rPr>
          <w:rFonts w:hint="eastAsia" w:ascii="黑体" w:hAnsi="黑体" w:eastAsia="黑体"/>
          <w:szCs w:val="32"/>
        </w:rPr>
        <w:t>第十八条</w:t>
      </w:r>
      <w:r>
        <w:rPr>
          <w:rFonts w:hint="eastAsia" w:ascii="仿宋_GB2312"/>
          <w:szCs w:val="32"/>
        </w:rPr>
        <w:t xml:space="preserve">  本规定自发布之日起施行。</w:t>
      </w:r>
    </w:p>
    <w:p>
      <w:pPr>
        <w:adjustRightInd w:val="0"/>
        <w:snapToGrid w:val="0"/>
        <w:spacing w:line="520" w:lineRule="exact"/>
        <w:ind w:firstLine="640" w:firstLineChars="200"/>
        <w:rPr>
          <w:rFonts w:hint="eastAsia" w:ascii="仿宋_GB2312"/>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02880"/>
    <w:rsid w:val="17D90292"/>
    <w:rsid w:val="35F47A5D"/>
    <w:rsid w:val="493C5DF8"/>
    <w:rsid w:val="71B02880"/>
    <w:rsid w:val="7BC7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eader-word-layer"/>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2020-10-14T08:36:00Z</dcterms:created>
  <dc:creator>丽水市统计局文书</dc:creator>
  <cp:lastModifiedBy>Administrator</cp:lastModifiedBy>
  <cp:lastPrinted>2021-04-21T01:09:00Z</cp:lastPrinted>
  <dcterms:modified xsi:type="dcterms:W3CDTF">2021-04-25T01:17:16Z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